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5CA4" w14:textId="77777777" w:rsidR="002C10B0" w:rsidRDefault="002C10B0">
      <w:pPr>
        <w:pStyle w:val="Titl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0C8BA77F" w:rsidR="002C10B0" w:rsidRDefault="002C10B0">
      <w:pPr>
        <w:snapToGrid w:val="0"/>
        <w:jc w:val="center"/>
        <w:rPr>
          <w:b/>
        </w:rPr>
      </w:pPr>
      <w:r>
        <w:rPr>
          <w:rFonts w:hint="eastAsia"/>
          <w:b/>
        </w:rPr>
        <w:t>Author A</w:t>
      </w:r>
      <w:r w:rsidR="004D0E2F">
        <w:rPr>
          <w:b/>
          <w:vertAlign w:val="superscript"/>
        </w:rPr>
        <w:t>1</w:t>
      </w:r>
      <w:r w:rsidR="00B66D1D">
        <w:rPr>
          <w:b/>
        </w:rPr>
        <w:t>, Author B</w:t>
      </w:r>
      <w:r w:rsidR="004D0E2F">
        <w:rPr>
          <w:b/>
          <w:vertAlign w:val="superscript"/>
        </w:rPr>
        <w:t>2</w:t>
      </w:r>
      <w:r w:rsidR="00B66D1D">
        <w:rPr>
          <w:b/>
        </w:rPr>
        <w:t>,</w:t>
      </w:r>
      <w:r>
        <w:rPr>
          <w:rFonts w:hint="eastAsia"/>
          <w:b/>
        </w:rPr>
        <w:t xml:space="preserve"> and Author </w:t>
      </w:r>
      <w:r w:rsidR="00B66D1D">
        <w:rPr>
          <w:rFonts w:hint="eastAsia"/>
          <w:b/>
        </w:rPr>
        <w:t>C</w:t>
      </w:r>
      <w:r w:rsidR="004D0E2F">
        <w:rPr>
          <w:b/>
          <w:vertAlign w:val="superscript"/>
        </w:rPr>
        <w:t>3</w:t>
      </w:r>
      <w:r>
        <w:rPr>
          <w:rStyle w:val="FootnoteReference"/>
          <w:b/>
        </w:rPr>
        <w:footnoteReference w:customMarkFollows="1" w:id="1"/>
        <w:sym w:font="Symbol" w:char="F02A"/>
      </w:r>
    </w:p>
    <w:p w14:paraId="3A572E3A" w14:textId="77777777" w:rsidR="004D0E2F" w:rsidRDefault="004D0E2F">
      <w:pPr>
        <w:snapToGrid w:val="0"/>
        <w:jc w:val="center"/>
        <w:rPr>
          <w:vertAlign w:val="superscript"/>
        </w:rPr>
      </w:pPr>
    </w:p>
    <w:p w14:paraId="6F68D948" w14:textId="20648929" w:rsidR="002C10B0" w:rsidRDefault="004D0E2F">
      <w:pPr>
        <w:snapToGrid w:val="0"/>
        <w:jc w:val="center"/>
      </w:pPr>
      <w:r>
        <w:rPr>
          <w:vertAlign w:val="superscript"/>
        </w:rPr>
        <w:t>1</w:t>
      </w:r>
      <w:r w:rsidR="002C10B0">
        <w:rPr>
          <w:rFonts w:hint="eastAsia"/>
        </w:rPr>
        <w:t>Name of Institut</w:t>
      </w:r>
      <w:r>
        <w:t>ion 1</w:t>
      </w:r>
    </w:p>
    <w:p w14:paraId="24648356" w14:textId="77777777" w:rsidR="002C10B0" w:rsidRDefault="002C10B0">
      <w:pPr>
        <w:jc w:val="center"/>
      </w:pPr>
      <w:r>
        <w:rPr>
          <w:rFonts w:hint="eastAsia"/>
        </w:rPr>
        <w:t>Corresponding Address</w:t>
      </w:r>
    </w:p>
    <w:p w14:paraId="3D9540C3" w14:textId="77777777" w:rsidR="004D0E2F" w:rsidRDefault="004D0E2F" w:rsidP="004D0E2F">
      <w:pPr>
        <w:snapToGrid w:val="0"/>
        <w:jc w:val="center"/>
        <w:rPr>
          <w:vertAlign w:val="superscript"/>
        </w:rPr>
      </w:pPr>
    </w:p>
    <w:p w14:paraId="1626C669" w14:textId="1386EDA2" w:rsidR="004D0E2F" w:rsidRDefault="004D0E2F" w:rsidP="004D0E2F">
      <w:pPr>
        <w:snapToGrid w:val="0"/>
        <w:jc w:val="center"/>
      </w:pPr>
      <w:r>
        <w:rPr>
          <w:vertAlign w:val="superscript"/>
        </w:rPr>
        <w:t>2</w:t>
      </w:r>
      <w:r>
        <w:rPr>
          <w:rFonts w:hint="eastAsia"/>
        </w:rPr>
        <w:t>Name of Institut</w:t>
      </w:r>
      <w:r>
        <w:t>ion 2</w:t>
      </w:r>
    </w:p>
    <w:p w14:paraId="68966616" w14:textId="77777777" w:rsidR="004D0E2F" w:rsidRDefault="004D0E2F" w:rsidP="004D0E2F">
      <w:pPr>
        <w:jc w:val="center"/>
      </w:pPr>
      <w:r>
        <w:rPr>
          <w:rFonts w:hint="eastAsia"/>
        </w:rPr>
        <w:t>Corresponding Address</w:t>
      </w:r>
    </w:p>
    <w:p w14:paraId="4944C4DF" w14:textId="4F360256" w:rsidR="002C10B0" w:rsidRDefault="002C10B0">
      <w:pPr>
        <w:jc w:val="center"/>
      </w:pPr>
    </w:p>
    <w:p w14:paraId="50AA5D2F" w14:textId="7094C57E" w:rsidR="004D0E2F" w:rsidRDefault="004D0E2F" w:rsidP="004D0E2F">
      <w:pPr>
        <w:snapToGrid w:val="0"/>
        <w:jc w:val="center"/>
      </w:pPr>
      <w:r>
        <w:rPr>
          <w:vertAlign w:val="superscript"/>
        </w:rPr>
        <w:t>3</w:t>
      </w:r>
      <w:r>
        <w:rPr>
          <w:rFonts w:hint="eastAsia"/>
        </w:rPr>
        <w:t>Name of Institut</w:t>
      </w:r>
      <w:r>
        <w:t>ion 3</w:t>
      </w:r>
      <w:bookmarkStart w:id="0" w:name="_GoBack"/>
      <w:bookmarkEnd w:id="0"/>
    </w:p>
    <w:p w14:paraId="32C5A2E6" w14:textId="77777777" w:rsidR="004D0E2F" w:rsidRDefault="004D0E2F" w:rsidP="004D0E2F">
      <w:pPr>
        <w:jc w:val="center"/>
      </w:pPr>
      <w:r>
        <w:rPr>
          <w:rFonts w:hint="eastAsia"/>
        </w:rPr>
        <w:t>Corresponding Address</w:t>
      </w:r>
    </w:p>
    <w:p w14:paraId="0A3FE7C0" w14:textId="77777777" w:rsidR="004D0E2F" w:rsidRDefault="004D0E2F">
      <w:pPr>
        <w:jc w:val="center"/>
      </w:pPr>
    </w:p>
    <w:p w14:paraId="16696365" w14:textId="468B1640" w:rsidR="004D0E2F" w:rsidRDefault="004D0E2F">
      <w:pPr>
        <w:jc w:val="center"/>
      </w:pPr>
      <w:r>
        <w:t>Author1@email, Author2@email, Author3@email</w:t>
      </w:r>
    </w:p>
    <w:p w14:paraId="6E417673" w14:textId="1A7DEB36" w:rsidR="002C10B0" w:rsidRDefault="002C10B0">
      <w:pPr>
        <w:jc w:val="center"/>
        <w:rPr>
          <w:b/>
        </w:rPr>
      </w:pPr>
    </w:p>
    <w:p w14:paraId="7CB53239" w14:textId="77777777" w:rsidR="002C10B0" w:rsidRPr="003B5B3B" w:rsidRDefault="002C10B0">
      <w:pPr>
        <w:rPr>
          <w:b/>
          <w:szCs w:val="24"/>
        </w:rPr>
      </w:pPr>
    </w:p>
    <w:p w14:paraId="1F31196D" w14:textId="77777777" w:rsidR="002C10B0" w:rsidRPr="00D61A94" w:rsidRDefault="002C10B0" w:rsidP="004D0E2F">
      <w:pPr>
        <w:pStyle w:val="Heading1"/>
        <w:jc w:val="center"/>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4D0E2F">
      <w:pPr>
        <w:pStyle w:val="BodyText3"/>
        <w:ind w:left="567" w:right="571"/>
        <w:jc w:val="both"/>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688A541B" w14:textId="77777777" w:rsidR="002C10B0" w:rsidRPr="00D61A94" w:rsidRDefault="002C10B0" w:rsidP="00C46512">
      <w:pPr>
        <w:pStyle w:val="abstract"/>
        <w:ind w:left="0"/>
        <w:rPr>
          <w:sz w:val="22"/>
          <w:szCs w:val="22"/>
        </w:rPr>
      </w:pPr>
    </w:p>
    <w:p w14:paraId="1DC991A9" w14:textId="6A9A3C92" w:rsidR="00A24D37" w:rsidRPr="004D0E2F" w:rsidRDefault="003839F1" w:rsidP="004D0E2F">
      <w:pPr>
        <w:pStyle w:val="Heading1"/>
        <w:rPr>
          <w:b w:val="0"/>
          <w:sz w:val="22"/>
          <w:szCs w:val="22"/>
        </w:rPr>
      </w:pPr>
      <w:r w:rsidRPr="004D0E2F">
        <w:rPr>
          <w:b w:val="0"/>
          <w:sz w:val="22"/>
          <w:szCs w:val="22"/>
        </w:rPr>
        <w:t>KEYWORDS</w:t>
      </w:r>
      <w:r w:rsidR="004D0E2F" w:rsidRPr="004D0E2F">
        <w:rPr>
          <w:b w:val="0"/>
          <w:sz w:val="22"/>
          <w:szCs w:val="22"/>
        </w:rPr>
        <w:t>: list of three to five keywords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4D0E2F">
      <w:pPr>
        <w:pStyle w:val="Heading1"/>
        <w:numPr>
          <w:ilvl w:val="0"/>
          <w:numId w:val="5"/>
        </w:numPr>
        <w:jc w:val="cente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6894D148" w:rsidR="002C10B0" w:rsidRPr="00067502" w:rsidRDefault="002C10B0" w:rsidP="00A94C3C">
      <w:pPr>
        <w:pStyle w:val="BodyText3"/>
        <w:wordWrap/>
        <w:jc w:val="both"/>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w:t>
      </w:r>
      <w:r w:rsidR="00A94C3C">
        <w:rPr>
          <w:sz w:val="22"/>
          <w:szCs w:val="22"/>
        </w:rPr>
        <w:t xml:space="preserve">it </w:t>
      </w:r>
      <w:r w:rsidRPr="00067502">
        <w:rPr>
          <w:sz w:val="22"/>
          <w:szCs w:val="22"/>
        </w:rPr>
        <w:t xml:space="preserve">must be all uppercase and </w:t>
      </w:r>
      <w:r w:rsidR="002B2FAE">
        <w:rPr>
          <w:sz w:val="22"/>
          <w:szCs w:val="22"/>
        </w:rPr>
        <w:t xml:space="preserve">text </w:t>
      </w:r>
      <w:r w:rsidR="00A94C3C">
        <w:rPr>
          <w:sz w:val="22"/>
          <w:szCs w:val="22"/>
        </w:rPr>
        <w:t>justified</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7410E91D" w14:textId="1BEADB75" w:rsidR="002C10B0" w:rsidRPr="00896224" w:rsidRDefault="00F16296" w:rsidP="00896224">
      <w:pPr>
        <w:pStyle w:val="BodyText3"/>
        <w:wordWrap/>
        <w:rPr>
          <w:b/>
          <w:bCs/>
          <w:sz w:val="22"/>
          <w:szCs w:val="22"/>
          <w:u w:val="single"/>
        </w:rPr>
      </w:pPr>
      <w:r w:rsidRPr="00896224">
        <w:rPr>
          <w:b/>
          <w:bCs/>
          <w:sz w:val="22"/>
          <w:szCs w:val="22"/>
          <w:u w:val="single"/>
        </w:rPr>
        <w:t xml:space="preserve">The page limit for </w:t>
      </w:r>
      <w:r w:rsidR="00896224">
        <w:rPr>
          <w:b/>
          <w:bCs/>
          <w:sz w:val="22"/>
          <w:szCs w:val="22"/>
          <w:u w:val="single"/>
        </w:rPr>
        <w:t>PHYSOR 2020</w:t>
      </w:r>
      <w:r w:rsidR="00A94C3C" w:rsidRPr="00896224">
        <w:rPr>
          <w:b/>
          <w:bCs/>
          <w:sz w:val="22"/>
          <w:szCs w:val="22"/>
          <w:u w:val="single"/>
        </w:rPr>
        <w:t xml:space="preserve"> papers is </w:t>
      </w:r>
      <w:r w:rsidR="00896224" w:rsidRPr="00896224">
        <w:rPr>
          <w:b/>
          <w:bCs/>
          <w:sz w:val="22"/>
          <w:szCs w:val="22"/>
          <w:u w:val="single"/>
        </w:rPr>
        <w:t>8</w:t>
      </w:r>
      <w:r w:rsidRPr="00896224">
        <w:rPr>
          <w:b/>
          <w:bCs/>
          <w:sz w:val="22"/>
          <w:szCs w:val="22"/>
          <w:u w:val="single"/>
        </w:rPr>
        <w:t xml:space="preserve"> pages.</w:t>
      </w:r>
      <w:r w:rsidR="00896224">
        <w:rPr>
          <w:sz w:val="22"/>
          <w:szCs w:val="22"/>
        </w:rPr>
        <w:t xml:space="preserve"> Paper with more than 8 pages will be charged 50£ per excess page. </w:t>
      </w:r>
      <w:r w:rsidRPr="00896224">
        <w:rPr>
          <w:b/>
          <w:bCs/>
          <w:sz w:val="22"/>
          <w:szCs w:val="22"/>
          <w:u w:val="single"/>
        </w:rPr>
        <w:t xml:space="preserve">  </w:t>
      </w:r>
    </w:p>
    <w:p w14:paraId="47CBE5D6" w14:textId="77777777" w:rsidR="002C10B0" w:rsidRPr="00593473" w:rsidRDefault="002C10B0" w:rsidP="00067502">
      <w:pPr>
        <w:pStyle w:val="BodyText3"/>
        <w:wordWrap/>
        <w:rPr>
          <w:sz w:val="22"/>
          <w:szCs w:val="22"/>
        </w:rPr>
      </w:pPr>
    </w:p>
    <w:p w14:paraId="743D1696" w14:textId="77777777" w:rsidR="002C10B0" w:rsidRPr="00593473" w:rsidRDefault="002C10B0" w:rsidP="00A94C3C">
      <w:pPr>
        <w:pStyle w:val="Heading1"/>
        <w:numPr>
          <w:ilvl w:val="0"/>
          <w:numId w:val="5"/>
        </w:numPr>
        <w:jc w:val="center"/>
        <w:rPr>
          <w:sz w:val="22"/>
          <w:szCs w:val="22"/>
        </w:rPr>
      </w:pPr>
      <w:r w:rsidRPr="00593473">
        <w:rPr>
          <w:sz w:val="22"/>
          <w:szCs w:val="22"/>
        </w:rPr>
        <w:lastRenderedPageBreak/>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A94C3C">
      <w:pPr>
        <w:pStyle w:val="BodyText3"/>
        <w:wordWrap/>
        <w:jc w:val="both"/>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A94C3C">
      <w:pPr>
        <w:pStyle w:val="BodyText3"/>
        <w:wordWrap/>
        <w:jc w:val="both"/>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A94C3C">
      <w:pPr>
        <w:pStyle w:val="BodyText3"/>
        <w:wordWrap/>
        <w:jc w:val="both"/>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1E05D1B5" w:rsidR="002C10B0" w:rsidRPr="00493F85" w:rsidRDefault="00F40D58" w:rsidP="00067502">
      <w:pPr>
        <w:pStyle w:val="BodyText3"/>
        <w:wordWrap/>
        <w:jc w:val="right"/>
        <w:rPr>
          <w:sz w:val="22"/>
          <w:szCs w:val="22"/>
        </w:rPr>
      </w:pPr>
      <m:oMath>
        <m:sSub>
          <m:sSubPr>
            <m:ctrlPr>
              <w:rPr>
                <w:rFonts w:ascii="Cambria Math" w:hAnsi="Cambria Math"/>
                <w:i/>
              </w:rPr>
            </m:ctrlPr>
          </m:sSubPr>
          <m:e>
            <m:r>
              <w:rPr>
                <w:rFonts w:ascii="Cambria Math" w:hAnsi="Cambria Math"/>
              </w:rPr>
              <m:t>G</m:t>
            </m:r>
          </m:e>
          <m:sub>
            <m:r>
              <w:rPr>
                <w:rFonts w:ascii="Cambria Math" w:hAnsi="Cambria Math"/>
              </w:rPr>
              <m:t>α1α2</m:t>
            </m:r>
          </m:sub>
        </m:sSub>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ν</m:t>
                </m:r>
              </m:e>
              <m:sub>
                <m:r>
                  <w:rPr>
                    <w:rFonts w:ascii="Cambria Math" w:hAnsi="Cambria Math"/>
                  </w:rPr>
                  <m:t>1</m:t>
                </m:r>
              </m:sub>
            </m:sSub>
          </m:num>
          <m:den>
            <m:sSub>
              <m:sSubPr>
                <m:ctrlPr>
                  <w:rPr>
                    <w:rFonts w:ascii="Cambria Math" w:hAnsi="Cambria Math"/>
                    <w:i/>
                  </w:rPr>
                </m:ctrlPr>
              </m:sSubPr>
              <m:e>
                <m:r>
                  <w:rPr>
                    <w:rFonts w:ascii="Cambria Math" w:hAnsi="Cambria Math"/>
                  </w:rPr>
                  <m:t>ν</m:t>
                </m:r>
              </m:e>
              <m:sub>
                <m:r>
                  <w:rPr>
                    <w:rFonts w:ascii="Cambria Math" w:hAnsi="Cambria Math"/>
                  </w:rPr>
                  <m:t>2</m:t>
                </m:r>
              </m:sub>
            </m:sSub>
          </m:den>
        </m:f>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iω</m:t>
                </m:r>
                <m:sSub>
                  <m:sSubPr>
                    <m:ctrlPr>
                      <w:rPr>
                        <w:rFonts w:ascii="Cambria Math" w:hAnsi="Cambria Math"/>
                        <w:i/>
                      </w:rPr>
                    </m:ctrlPr>
                  </m:sSubPr>
                  <m:e>
                    <m:r>
                      <w:rPr>
                        <w:rFonts w:ascii="Cambria Math" w:hAnsi="Cambria Math"/>
                      </w:rPr>
                      <m:t>τ</m:t>
                    </m:r>
                  </m:e>
                  <m:sub>
                    <m:r>
                      <w:rPr>
                        <w:rFonts w:ascii="Cambria Math" w:hAnsi="Cambria Math"/>
                      </w:rPr>
                      <m:t>12</m:t>
                    </m:r>
                  </m:sub>
                </m:sSub>
              </m:e>
            </m:d>
          </m:sup>
        </m:sSup>
        <m:sSub>
          <m:sSubPr>
            <m:ctrlPr>
              <w:rPr>
                <w:rFonts w:ascii="Cambria Math" w:hAnsi="Cambria Math"/>
                <w:i/>
              </w:rPr>
            </m:ctrlPr>
          </m:sSubPr>
          <m:e>
            <m:r>
              <w:rPr>
                <w:rFonts w:ascii="Cambria Math" w:hAnsi="Cambria Math"/>
              </w:rPr>
              <m:t>G</m:t>
            </m:r>
          </m:e>
          <m:sub>
            <m:r>
              <w:rPr>
                <w:rFonts w:ascii="Cambria Math" w:hAnsi="Cambria Math"/>
              </w:rPr>
              <m:t>α1</m:t>
            </m:r>
          </m:sub>
        </m:sSub>
        <m:r>
          <w:rPr>
            <w:rFonts w:ascii="Cambria Math" w:hAnsi="Cambria Math"/>
          </w:rPr>
          <m:t>(f)</m:t>
        </m:r>
      </m:oMath>
      <w:r w:rsidR="00E269BC" w:rsidRPr="006A3588">
        <w:rPr>
          <w:rFonts w:eastAsia="Arial"/>
        </w:rPr>
        <w:t xml:space="preserve"> ,     </w:t>
      </w:r>
      <w:r w:rsidR="00E269BC">
        <w:rPr>
          <w:rFonts w:eastAsia="Arial"/>
        </w:rPr>
        <w:t xml:space="preserve">  </w:t>
      </w:r>
      <w:r w:rsidR="00E269BC" w:rsidRPr="006A3588">
        <w:rPr>
          <w:rFonts w:eastAsia="Arial"/>
        </w:rPr>
        <w:t xml:space="preserve">      </w: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2091CF58" w:rsidR="00132726" w:rsidRDefault="00A94C3C" w:rsidP="00A94C3C">
      <w:pPr>
        <w:pStyle w:val="BodyText3"/>
        <w:wordWrap/>
        <w:jc w:val="center"/>
        <w:rPr>
          <w:sz w:val="22"/>
          <w:szCs w:val="22"/>
        </w:rPr>
      </w:pPr>
      <w:r w:rsidRPr="00A94C3C">
        <w:rPr>
          <w:noProof/>
          <w:lang w:val="en-GB" w:eastAsia="en-GB" w:bidi="he-IL"/>
        </w:rPr>
        <w:drawing>
          <wp:inline distT="0" distB="0" distL="0" distR="0" wp14:anchorId="14CC1639" wp14:editId="5B19BF07">
            <wp:extent cx="4152900" cy="2413361"/>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57757" cy="2416183"/>
                    </a:xfrm>
                    <a:prstGeom prst="rect">
                      <a:avLst/>
                    </a:prstGeom>
                  </pic:spPr>
                </pic:pic>
              </a:graphicData>
            </a:graphic>
          </wp:inline>
        </w:drawing>
      </w:r>
    </w:p>
    <w:p w14:paraId="7B2AADBD" w14:textId="05C25620" w:rsidR="00A94C3C" w:rsidRPr="002802C5" w:rsidRDefault="00A94C3C" w:rsidP="00067502">
      <w:pPr>
        <w:pStyle w:val="BodyText3"/>
        <w:wordWrap/>
        <w:rPr>
          <w:sz w:val="22"/>
          <w:szCs w:val="22"/>
        </w:rPr>
      </w:pP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lastRenderedPageBreak/>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Default="002C10B0" w:rsidP="00067502">
      <w:pPr>
        <w:pStyle w:val="BodyText3"/>
        <w:wordWrap/>
        <w:rPr>
          <w:sz w:val="22"/>
          <w:szCs w:val="22"/>
        </w:rPr>
      </w:pPr>
    </w:p>
    <w:p w14:paraId="2CFC916C" w14:textId="77777777" w:rsidR="00E269BC" w:rsidRPr="00E269BC" w:rsidRDefault="00E269BC" w:rsidP="00067502">
      <w:pPr>
        <w:pStyle w:val="BodyText3"/>
        <w:wordWrap/>
        <w:rPr>
          <w:sz w:val="22"/>
          <w:szCs w:val="22"/>
          <w:lang w:val="es-MX"/>
        </w:rPr>
      </w:pPr>
    </w:p>
    <w:p w14:paraId="14FE2A68" w14:textId="79472237" w:rsidR="00E269BC" w:rsidRDefault="002C10B0" w:rsidP="00E269BC">
      <w:pPr>
        <w:pStyle w:val="BodyText3"/>
        <w:wordWrap/>
        <w:jc w:val="center"/>
      </w:pPr>
      <w:r w:rsidRPr="008B0701">
        <w:rPr>
          <w:b/>
          <w:sz w:val="22"/>
          <w:szCs w:val="22"/>
        </w:rPr>
        <w:t xml:space="preserve">Table I. </w:t>
      </w:r>
      <w:r w:rsidR="00E269BC">
        <w:rPr>
          <w:b/>
          <w:sz w:val="22"/>
          <w:szCs w:val="22"/>
        </w:rPr>
        <w:t xml:space="preserve">Sample table: </w:t>
      </w:r>
      <w:r w:rsidR="00E269BC">
        <w:t>Transit t</w:t>
      </w:r>
      <w:r w:rsidR="00E269BC" w:rsidRPr="006A3588">
        <w:t>ime obtained with the modified reduced model.</w:t>
      </w:r>
    </w:p>
    <w:p w14:paraId="38F8811B" w14:textId="77777777" w:rsidR="00E269BC" w:rsidRDefault="00E269BC" w:rsidP="00E269BC">
      <w:pPr>
        <w:pStyle w:val="BodyText3"/>
        <w:wordWrap/>
        <w:jc w:val="cente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200"/>
        <w:gridCol w:w="1200"/>
        <w:gridCol w:w="1200"/>
        <w:gridCol w:w="1200"/>
        <w:gridCol w:w="1200"/>
      </w:tblGrid>
      <w:tr w:rsidR="00E269BC" w:rsidRPr="00E269BC" w14:paraId="357ED421" w14:textId="77777777" w:rsidTr="00E269BC">
        <w:trPr>
          <w:trHeight w:val="330"/>
          <w:jc w:val="center"/>
        </w:trPr>
        <w:tc>
          <w:tcPr>
            <w:tcW w:w="1940" w:type="dxa"/>
            <w:shd w:val="clear" w:color="auto" w:fill="auto"/>
            <w:noWrap/>
            <w:vAlign w:val="center"/>
            <w:hideMark/>
          </w:tcPr>
          <w:p w14:paraId="1E0371CE" w14:textId="77777777" w:rsidR="00E269BC" w:rsidRPr="00E269BC" w:rsidRDefault="00E269BC" w:rsidP="00CB142C">
            <w:pPr>
              <w:jc w:val="center"/>
              <w:rPr>
                <w:color w:val="000000"/>
                <w:sz w:val="22"/>
                <w:szCs w:val="22"/>
              </w:rPr>
            </w:pPr>
            <w:r w:rsidRPr="00E269BC">
              <w:rPr>
                <w:color w:val="000000"/>
                <w:sz w:val="22"/>
                <w:szCs w:val="22"/>
              </w:rPr>
              <w:t>Measurement</w:t>
            </w:r>
          </w:p>
        </w:tc>
        <w:tc>
          <w:tcPr>
            <w:tcW w:w="1200" w:type="dxa"/>
            <w:shd w:val="clear" w:color="auto" w:fill="auto"/>
            <w:noWrap/>
            <w:vAlign w:val="center"/>
            <w:hideMark/>
          </w:tcPr>
          <w:p w14:paraId="0531B74B" w14:textId="77777777" w:rsidR="00E269BC" w:rsidRPr="00E269BC" w:rsidRDefault="00E269BC" w:rsidP="00CB142C">
            <w:pPr>
              <w:jc w:val="center"/>
              <w:rPr>
                <w:color w:val="000000"/>
                <w:sz w:val="22"/>
                <w:szCs w:val="22"/>
              </w:rPr>
            </w:pPr>
            <w:r w:rsidRPr="00E269BC">
              <w:rPr>
                <w:color w:val="000000"/>
                <w:sz w:val="22"/>
                <w:szCs w:val="22"/>
              </w:rPr>
              <w:t>APRM A (s)</w:t>
            </w:r>
          </w:p>
        </w:tc>
        <w:tc>
          <w:tcPr>
            <w:tcW w:w="1200" w:type="dxa"/>
            <w:shd w:val="clear" w:color="auto" w:fill="auto"/>
            <w:noWrap/>
            <w:vAlign w:val="center"/>
            <w:hideMark/>
          </w:tcPr>
          <w:p w14:paraId="5F516859" w14:textId="77777777" w:rsidR="00E269BC" w:rsidRPr="00E269BC" w:rsidRDefault="00E269BC" w:rsidP="00CB142C">
            <w:pPr>
              <w:jc w:val="center"/>
              <w:rPr>
                <w:color w:val="000000"/>
                <w:sz w:val="22"/>
                <w:szCs w:val="22"/>
              </w:rPr>
            </w:pPr>
            <w:r w:rsidRPr="00E269BC">
              <w:rPr>
                <w:color w:val="000000"/>
                <w:sz w:val="22"/>
                <w:szCs w:val="22"/>
              </w:rPr>
              <w:t>APRM B (s)</w:t>
            </w:r>
          </w:p>
        </w:tc>
        <w:tc>
          <w:tcPr>
            <w:tcW w:w="1200" w:type="dxa"/>
            <w:shd w:val="clear" w:color="auto" w:fill="auto"/>
            <w:noWrap/>
            <w:vAlign w:val="center"/>
            <w:hideMark/>
          </w:tcPr>
          <w:p w14:paraId="511D0FB3" w14:textId="77777777" w:rsidR="00E269BC" w:rsidRPr="00E269BC" w:rsidRDefault="00E269BC" w:rsidP="00CB142C">
            <w:pPr>
              <w:jc w:val="center"/>
              <w:rPr>
                <w:color w:val="000000"/>
                <w:sz w:val="22"/>
                <w:szCs w:val="22"/>
              </w:rPr>
            </w:pPr>
            <w:r w:rsidRPr="00E269BC">
              <w:rPr>
                <w:color w:val="000000"/>
                <w:sz w:val="22"/>
                <w:szCs w:val="22"/>
              </w:rPr>
              <w:t>APRM C (s)</w:t>
            </w:r>
          </w:p>
        </w:tc>
        <w:tc>
          <w:tcPr>
            <w:tcW w:w="1200" w:type="dxa"/>
            <w:shd w:val="clear" w:color="auto" w:fill="auto"/>
            <w:noWrap/>
            <w:vAlign w:val="center"/>
            <w:hideMark/>
          </w:tcPr>
          <w:p w14:paraId="62F0190C" w14:textId="77777777" w:rsidR="00E269BC" w:rsidRPr="00E269BC" w:rsidRDefault="00E269BC" w:rsidP="00CB142C">
            <w:pPr>
              <w:jc w:val="center"/>
              <w:rPr>
                <w:color w:val="000000"/>
                <w:sz w:val="22"/>
                <w:szCs w:val="22"/>
              </w:rPr>
            </w:pPr>
            <w:r w:rsidRPr="00E269BC">
              <w:rPr>
                <w:color w:val="000000"/>
                <w:sz w:val="22"/>
                <w:szCs w:val="22"/>
              </w:rPr>
              <w:t>APRM D (s)</w:t>
            </w:r>
          </w:p>
        </w:tc>
        <w:tc>
          <w:tcPr>
            <w:tcW w:w="1200" w:type="dxa"/>
            <w:shd w:val="clear" w:color="auto" w:fill="auto"/>
            <w:noWrap/>
            <w:vAlign w:val="center"/>
            <w:hideMark/>
          </w:tcPr>
          <w:p w14:paraId="2FFDC517" w14:textId="77777777" w:rsidR="00E269BC" w:rsidRPr="00E269BC" w:rsidRDefault="00E269BC" w:rsidP="00CB142C">
            <w:pPr>
              <w:jc w:val="center"/>
              <w:rPr>
                <w:color w:val="000000"/>
                <w:sz w:val="22"/>
                <w:szCs w:val="22"/>
              </w:rPr>
            </w:pPr>
            <w:r w:rsidRPr="00E269BC">
              <w:rPr>
                <w:color w:val="000000"/>
                <w:sz w:val="22"/>
                <w:szCs w:val="22"/>
              </w:rPr>
              <w:t>Average (s)</w:t>
            </w:r>
          </w:p>
        </w:tc>
      </w:tr>
      <w:tr w:rsidR="00E269BC" w:rsidRPr="00E269BC" w14:paraId="043204D1" w14:textId="77777777" w:rsidTr="00E269BC">
        <w:trPr>
          <w:trHeight w:val="330"/>
          <w:jc w:val="center"/>
        </w:trPr>
        <w:tc>
          <w:tcPr>
            <w:tcW w:w="1940" w:type="dxa"/>
            <w:shd w:val="clear" w:color="auto" w:fill="auto"/>
            <w:noWrap/>
            <w:vAlign w:val="center"/>
            <w:hideMark/>
          </w:tcPr>
          <w:p w14:paraId="5D9CC87C" w14:textId="77777777" w:rsidR="00E269BC" w:rsidRPr="00E269BC" w:rsidRDefault="00E269BC" w:rsidP="00CB142C">
            <w:pPr>
              <w:jc w:val="center"/>
              <w:rPr>
                <w:color w:val="000000"/>
                <w:sz w:val="22"/>
                <w:szCs w:val="22"/>
              </w:rPr>
            </w:pPr>
            <w:r w:rsidRPr="00E269BC">
              <w:rPr>
                <w:color w:val="000000"/>
                <w:sz w:val="22"/>
                <w:szCs w:val="22"/>
              </w:rPr>
              <w:t>1</w:t>
            </w:r>
          </w:p>
        </w:tc>
        <w:tc>
          <w:tcPr>
            <w:tcW w:w="1200" w:type="dxa"/>
            <w:shd w:val="clear" w:color="auto" w:fill="auto"/>
            <w:noWrap/>
            <w:vAlign w:val="center"/>
            <w:hideMark/>
          </w:tcPr>
          <w:p w14:paraId="62C4165C" w14:textId="77777777" w:rsidR="00E269BC" w:rsidRPr="00E269BC" w:rsidRDefault="00E269BC" w:rsidP="00CB142C">
            <w:pPr>
              <w:jc w:val="center"/>
              <w:rPr>
                <w:color w:val="000000"/>
                <w:sz w:val="22"/>
                <w:szCs w:val="22"/>
              </w:rPr>
            </w:pPr>
            <w:r w:rsidRPr="00E269BC">
              <w:rPr>
                <w:color w:val="000000"/>
                <w:sz w:val="22"/>
                <w:szCs w:val="22"/>
              </w:rPr>
              <w:t>0.3425</w:t>
            </w:r>
          </w:p>
        </w:tc>
        <w:tc>
          <w:tcPr>
            <w:tcW w:w="1200" w:type="dxa"/>
            <w:shd w:val="clear" w:color="auto" w:fill="auto"/>
            <w:noWrap/>
            <w:vAlign w:val="center"/>
            <w:hideMark/>
          </w:tcPr>
          <w:p w14:paraId="179AB50B" w14:textId="77777777" w:rsidR="00E269BC" w:rsidRPr="00E269BC" w:rsidRDefault="00E269BC" w:rsidP="00CB142C">
            <w:pPr>
              <w:jc w:val="center"/>
              <w:rPr>
                <w:color w:val="000000"/>
                <w:sz w:val="22"/>
                <w:szCs w:val="22"/>
              </w:rPr>
            </w:pPr>
            <w:r w:rsidRPr="00E269BC">
              <w:rPr>
                <w:color w:val="000000"/>
                <w:sz w:val="22"/>
                <w:szCs w:val="22"/>
              </w:rPr>
              <w:t>0.3396</w:t>
            </w:r>
          </w:p>
        </w:tc>
        <w:tc>
          <w:tcPr>
            <w:tcW w:w="1200" w:type="dxa"/>
            <w:shd w:val="clear" w:color="auto" w:fill="auto"/>
            <w:noWrap/>
            <w:vAlign w:val="center"/>
            <w:hideMark/>
          </w:tcPr>
          <w:p w14:paraId="252036DF" w14:textId="77777777" w:rsidR="00E269BC" w:rsidRPr="00E269BC" w:rsidRDefault="00E269BC" w:rsidP="00CB142C">
            <w:pPr>
              <w:jc w:val="center"/>
              <w:rPr>
                <w:color w:val="000000"/>
                <w:sz w:val="22"/>
                <w:szCs w:val="22"/>
              </w:rPr>
            </w:pPr>
            <w:r w:rsidRPr="00E269BC">
              <w:rPr>
                <w:color w:val="000000"/>
                <w:sz w:val="22"/>
                <w:szCs w:val="22"/>
              </w:rPr>
              <w:t>0.3476</w:t>
            </w:r>
          </w:p>
        </w:tc>
        <w:tc>
          <w:tcPr>
            <w:tcW w:w="1200" w:type="dxa"/>
            <w:shd w:val="clear" w:color="auto" w:fill="auto"/>
            <w:noWrap/>
            <w:vAlign w:val="center"/>
            <w:hideMark/>
          </w:tcPr>
          <w:p w14:paraId="5FE5D49D" w14:textId="77777777" w:rsidR="00E269BC" w:rsidRPr="00E269BC" w:rsidRDefault="00E269BC" w:rsidP="00CB142C">
            <w:pPr>
              <w:jc w:val="center"/>
              <w:rPr>
                <w:color w:val="000000"/>
                <w:sz w:val="22"/>
                <w:szCs w:val="22"/>
              </w:rPr>
            </w:pPr>
            <w:r w:rsidRPr="00E269BC">
              <w:rPr>
                <w:color w:val="000000"/>
                <w:sz w:val="22"/>
                <w:szCs w:val="22"/>
              </w:rPr>
              <w:t>0.3428</w:t>
            </w:r>
          </w:p>
        </w:tc>
        <w:tc>
          <w:tcPr>
            <w:tcW w:w="1200" w:type="dxa"/>
            <w:shd w:val="clear" w:color="auto" w:fill="auto"/>
            <w:noWrap/>
            <w:vAlign w:val="center"/>
            <w:hideMark/>
          </w:tcPr>
          <w:p w14:paraId="0F1A6F71" w14:textId="77777777" w:rsidR="00E269BC" w:rsidRPr="00E269BC" w:rsidRDefault="00E269BC" w:rsidP="00CB142C">
            <w:pPr>
              <w:jc w:val="center"/>
              <w:rPr>
                <w:color w:val="000000"/>
                <w:sz w:val="22"/>
                <w:szCs w:val="22"/>
              </w:rPr>
            </w:pPr>
            <w:r w:rsidRPr="00E269BC">
              <w:rPr>
                <w:color w:val="000000"/>
                <w:sz w:val="22"/>
                <w:szCs w:val="22"/>
              </w:rPr>
              <w:t>0.3431</w:t>
            </w:r>
          </w:p>
        </w:tc>
      </w:tr>
      <w:tr w:rsidR="00E269BC" w:rsidRPr="00E269BC" w14:paraId="4FCBC6CB" w14:textId="77777777" w:rsidTr="00E269BC">
        <w:trPr>
          <w:trHeight w:val="330"/>
          <w:jc w:val="center"/>
        </w:trPr>
        <w:tc>
          <w:tcPr>
            <w:tcW w:w="1940" w:type="dxa"/>
            <w:shd w:val="clear" w:color="auto" w:fill="auto"/>
            <w:noWrap/>
            <w:vAlign w:val="center"/>
            <w:hideMark/>
          </w:tcPr>
          <w:p w14:paraId="0DEF7356" w14:textId="77777777" w:rsidR="00E269BC" w:rsidRPr="00E269BC" w:rsidRDefault="00E269BC" w:rsidP="00CB142C">
            <w:pPr>
              <w:jc w:val="center"/>
              <w:rPr>
                <w:color w:val="000000"/>
                <w:sz w:val="22"/>
                <w:szCs w:val="22"/>
              </w:rPr>
            </w:pPr>
            <w:r w:rsidRPr="00E269BC">
              <w:rPr>
                <w:color w:val="000000"/>
                <w:sz w:val="22"/>
                <w:szCs w:val="22"/>
              </w:rPr>
              <w:t>2</w:t>
            </w:r>
          </w:p>
        </w:tc>
        <w:tc>
          <w:tcPr>
            <w:tcW w:w="1200" w:type="dxa"/>
            <w:shd w:val="clear" w:color="auto" w:fill="auto"/>
            <w:noWrap/>
            <w:vAlign w:val="center"/>
            <w:hideMark/>
          </w:tcPr>
          <w:p w14:paraId="36286091" w14:textId="77777777" w:rsidR="00E269BC" w:rsidRPr="00E269BC" w:rsidRDefault="00E269BC" w:rsidP="00CB142C">
            <w:pPr>
              <w:jc w:val="center"/>
              <w:rPr>
                <w:color w:val="000000"/>
                <w:sz w:val="22"/>
                <w:szCs w:val="22"/>
              </w:rPr>
            </w:pPr>
            <w:r w:rsidRPr="00E269BC">
              <w:rPr>
                <w:color w:val="000000"/>
                <w:sz w:val="22"/>
                <w:szCs w:val="22"/>
              </w:rPr>
              <w:t>0.3455</w:t>
            </w:r>
          </w:p>
        </w:tc>
        <w:tc>
          <w:tcPr>
            <w:tcW w:w="1200" w:type="dxa"/>
            <w:shd w:val="clear" w:color="auto" w:fill="auto"/>
            <w:noWrap/>
            <w:vAlign w:val="center"/>
            <w:hideMark/>
          </w:tcPr>
          <w:p w14:paraId="460D689A" w14:textId="77777777" w:rsidR="00E269BC" w:rsidRPr="00E269BC" w:rsidRDefault="00E269BC" w:rsidP="00CB142C">
            <w:pPr>
              <w:jc w:val="center"/>
              <w:rPr>
                <w:color w:val="000000"/>
                <w:sz w:val="22"/>
                <w:szCs w:val="22"/>
              </w:rPr>
            </w:pPr>
            <w:r w:rsidRPr="00E269BC">
              <w:rPr>
                <w:color w:val="000000"/>
                <w:sz w:val="22"/>
                <w:szCs w:val="22"/>
              </w:rPr>
              <w:t>0.3454</w:t>
            </w:r>
          </w:p>
        </w:tc>
        <w:tc>
          <w:tcPr>
            <w:tcW w:w="1200" w:type="dxa"/>
            <w:shd w:val="clear" w:color="auto" w:fill="auto"/>
            <w:noWrap/>
            <w:vAlign w:val="center"/>
            <w:hideMark/>
          </w:tcPr>
          <w:p w14:paraId="0B72B231" w14:textId="77777777" w:rsidR="00E269BC" w:rsidRPr="00E269BC" w:rsidRDefault="00E269BC" w:rsidP="00CB142C">
            <w:pPr>
              <w:jc w:val="center"/>
              <w:rPr>
                <w:color w:val="000000"/>
                <w:sz w:val="22"/>
                <w:szCs w:val="22"/>
              </w:rPr>
            </w:pPr>
            <w:r w:rsidRPr="00E269BC">
              <w:rPr>
                <w:color w:val="000000"/>
                <w:sz w:val="22"/>
                <w:szCs w:val="22"/>
              </w:rPr>
              <w:t>0.3454</w:t>
            </w:r>
          </w:p>
        </w:tc>
        <w:tc>
          <w:tcPr>
            <w:tcW w:w="1200" w:type="dxa"/>
            <w:shd w:val="clear" w:color="auto" w:fill="auto"/>
            <w:noWrap/>
            <w:vAlign w:val="center"/>
            <w:hideMark/>
          </w:tcPr>
          <w:p w14:paraId="4A2AB7E6" w14:textId="77777777" w:rsidR="00E269BC" w:rsidRPr="00E269BC" w:rsidRDefault="00E269BC" w:rsidP="00CB142C">
            <w:pPr>
              <w:jc w:val="center"/>
              <w:rPr>
                <w:color w:val="000000"/>
                <w:sz w:val="22"/>
                <w:szCs w:val="22"/>
              </w:rPr>
            </w:pPr>
            <w:r w:rsidRPr="00E269BC">
              <w:rPr>
                <w:color w:val="000000"/>
                <w:sz w:val="22"/>
                <w:szCs w:val="22"/>
              </w:rPr>
              <w:t>0.3413</w:t>
            </w:r>
          </w:p>
        </w:tc>
        <w:tc>
          <w:tcPr>
            <w:tcW w:w="1200" w:type="dxa"/>
            <w:shd w:val="clear" w:color="auto" w:fill="auto"/>
            <w:noWrap/>
            <w:vAlign w:val="center"/>
            <w:hideMark/>
          </w:tcPr>
          <w:p w14:paraId="63DDD1F0" w14:textId="77777777" w:rsidR="00E269BC" w:rsidRPr="00E269BC" w:rsidRDefault="00E269BC" w:rsidP="00CB142C">
            <w:pPr>
              <w:jc w:val="center"/>
              <w:rPr>
                <w:color w:val="000000"/>
                <w:sz w:val="22"/>
                <w:szCs w:val="22"/>
              </w:rPr>
            </w:pPr>
            <w:r w:rsidRPr="00E269BC">
              <w:rPr>
                <w:color w:val="000000"/>
                <w:sz w:val="22"/>
                <w:szCs w:val="22"/>
              </w:rPr>
              <w:t>0.3444</w:t>
            </w:r>
          </w:p>
        </w:tc>
      </w:tr>
      <w:tr w:rsidR="00E269BC" w:rsidRPr="00E269BC" w14:paraId="35F4F4FC" w14:textId="77777777" w:rsidTr="00E269BC">
        <w:trPr>
          <w:trHeight w:val="330"/>
          <w:jc w:val="center"/>
        </w:trPr>
        <w:tc>
          <w:tcPr>
            <w:tcW w:w="1940" w:type="dxa"/>
            <w:shd w:val="clear" w:color="auto" w:fill="auto"/>
            <w:noWrap/>
            <w:vAlign w:val="center"/>
            <w:hideMark/>
          </w:tcPr>
          <w:p w14:paraId="57963515" w14:textId="77777777" w:rsidR="00E269BC" w:rsidRPr="00E269BC" w:rsidRDefault="00E269BC" w:rsidP="00CB142C">
            <w:pPr>
              <w:jc w:val="center"/>
              <w:rPr>
                <w:color w:val="000000"/>
                <w:sz w:val="22"/>
                <w:szCs w:val="22"/>
              </w:rPr>
            </w:pPr>
            <w:r w:rsidRPr="00E269BC">
              <w:rPr>
                <w:color w:val="000000"/>
                <w:sz w:val="22"/>
                <w:szCs w:val="22"/>
              </w:rPr>
              <w:t>3</w:t>
            </w:r>
          </w:p>
        </w:tc>
        <w:tc>
          <w:tcPr>
            <w:tcW w:w="1200" w:type="dxa"/>
            <w:shd w:val="clear" w:color="auto" w:fill="auto"/>
            <w:noWrap/>
            <w:vAlign w:val="center"/>
            <w:hideMark/>
          </w:tcPr>
          <w:p w14:paraId="387F5094" w14:textId="77777777" w:rsidR="00E269BC" w:rsidRPr="00E269BC" w:rsidRDefault="00E269BC" w:rsidP="00CB142C">
            <w:pPr>
              <w:jc w:val="center"/>
              <w:rPr>
                <w:color w:val="000000"/>
                <w:sz w:val="22"/>
                <w:szCs w:val="22"/>
              </w:rPr>
            </w:pPr>
            <w:r w:rsidRPr="00E269BC">
              <w:rPr>
                <w:color w:val="000000"/>
                <w:sz w:val="22"/>
                <w:szCs w:val="22"/>
              </w:rPr>
              <w:t>0.3254</w:t>
            </w:r>
          </w:p>
        </w:tc>
        <w:tc>
          <w:tcPr>
            <w:tcW w:w="1200" w:type="dxa"/>
            <w:shd w:val="clear" w:color="auto" w:fill="auto"/>
            <w:noWrap/>
            <w:vAlign w:val="center"/>
            <w:hideMark/>
          </w:tcPr>
          <w:p w14:paraId="07431177" w14:textId="77777777" w:rsidR="00E269BC" w:rsidRPr="00E269BC" w:rsidRDefault="00E269BC" w:rsidP="00CB142C">
            <w:pPr>
              <w:jc w:val="center"/>
              <w:rPr>
                <w:color w:val="000000"/>
                <w:sz w:val="22"/>
                <w:szCs w:val="22"/>
              </w:rPr>
            </w:pPr>
            <w:r w:rsidRPr="00E269BC">
              <w:rPr>
                <w:color w:val="000000"/>
                <w:sz w:val="22"/>
                <w:szCs w:val="22"/>
              </w:rPr>
              <w:t>0.3322</w:t>
            </w:r>
          </w:p>
        </w:tc>
        <w:tc>
          <w:tcPr>
            <w:tcW w:w="1200" w:type="dxa"/>
            <w:shd w:val="clear" w:color="auto" w:fill="auto"/>
            <w:noWrap/>
            <w:vAlign w:val="center"/>
            <w:hideMark/>
          </w:tcPr>
          <w:p w14:paraId="3301B196" w14:textId="77777777" w:rsidR="00E269BC" w:rsidRPr="00E269BC" w:rsidRDefault="00E269BC" w:rsidP="00CB142C">
            <w:pPr>
              <w:jc w:val="center"/>
              <w:rPr>
                <w:color w:val="000000"/>
                <w:sz w:val="22"/>
                <w:szCs w:val="22"/>
              </w:rPr>
            </w:pPr>
            <w:r w:rsidRPr="00E269BC">
              <w:rPr>
                <w:color w:val="000000"/>
                <w:sz w:val="22"/>
                <w:szCs w:val="22"/>
              </w:rPr>
              <w:t>0.3360</w:t>
            </w:r>
          </w:p>
        </w:tc>
        <w:tc>
          <w:tcPr>
            <w:tcW w:w="1200" w:type="dxa"/>
            <w:shd w:val="clear" w:color="auto" w:fill="auto"/>
            <w:noWrap/>
            <w:vAlign w:val="center"/>
            <w:hideMark/>
          </w:tcPr>
          <w:p w14:paraId="63069989" w14:textId="77777777" w:rsidR="00E269BC" w:rsidRPr="00E269BC" w:rsidRDefault="00E269BC" w:rsidP="00CB142C">
            <w:pPr>
              <w:jc w:val="center"/>
              <w:rPr>
                <w:color w:val="000000"/>
                <w:sz w:val="22"/>
                <w:szCs w:val="22"/>
              </w:rPr>
            </w:pPr>
            <w:r w:rsidRPr="00E269BC">
              <w:rPr>
                <w:color w:val="000000"/>
                <w:sz w:val="22"/>
                <w:szCs w:val="22"/>
              </w:rPr>
              <w:t>0.3269</w:t>
            </w:r>
          </w:p>
        </w:tc>
        <w:tc>
          <w:tcPr>
            <w:tcW w:w="1200" w:type="dxa"/>
            <w:shd w:val="clear" w:color="auto" w:fill="auto"/>
            <w:noWrap/>
            <w:vAlign w:val="center"/>
            <w:hideMark/>
          </w:tcPr>
          <w:p w14:paraId="0F3D1901" w14:textId="77777777" w:rsidR="00E269BC" w:rsidRPr="00E269BC" w:rsidRDefault="00E269BC" w:rsidP="00CB142C">
            <w:pPr>
              <w:jc w:val="center"/>
              <w:rPr>
                <w:color w:val="000000"/>
                <w:sz w:val="22"/>
                <w:szCs w:val="22"/>
              </w:rPr>
            </w:pPr>
            <w:r w:rsidRPr="00E269BC">
              <w:rPr>
                <w:color w:val="000000"/>
                <w:sz w:val="22"/>
                <w:szCs w:val="22"/>
              </w:rPr>
              <w:t>0.3301</w:t>
            </w:r>
          </w:p>
        </w:tc>
      </w:tr>
      <w:tr w:rsidR="00E269BC" w:rsidRPr="00E269BC" w14:paraId="424181BD" w14:textId="77777777" w:rsidTr="00E269BC">
        <w:trPr>
          <w:trHeight w:val="330"/>
          <w:jc w:val="center"/>
        </w:trPr>
        <w:tc>
          <w:tcPr>
            <w:tcW w:w="1940" w:type="dxa"/>
            <w:shd w:val="clear" w:color="auto" w:fill="auto"/>
            <w:noWrap/>
            <w:vAlign w:val="center"/>
            <w:hideMark/>
          </w:tcPr>
          <w:p w14:paraId="1167352D" w14:textId="77777777" w:rsidR="00E269BC" w:rsidRPr="00E269BC" w:rsidRDefault="00E269BC" w:rsidP="00CB142C">
            <w:pPr>
              <w:jc w:val="center"/>
              <w:rPr>
                <w:color w:val="000000"/>
                <w:sz w:val="22"/>
                <w:szCs w:val="22"/>
              </w:rPr>
            </w:pPr>
            <w:r w:rsidRPr="00E269BC">
              <w:rPr>
                <w:color w:val="000000"/>
                <w:sz w:val="22"/>
                <w:szCs w:val="22"/>
              </w:rPr>
              <w:t>4</w:t>
            </w:r>
          </w:p>
        </w:tc>
        <w:tc>
          <w:tcPr>
            <w:tcW w:w="1200" w:type="dxa"/>
            <w:shd w:val="clear" w:color="auto" w:fill="auto"/>
            <w:noWrap/>
            <w:vAlign w:val="center"/>
            <w:hideMark/>
          </w:tcPr>
          <w:p w14:paraId="3F6FB9B8" w14:textId="77777777" w:rsidR="00E269BC" w:rsidRPr="00E269BC" w:rsidRDefault="00E269BC" w:rsidP="00CB142C">
            <w:pPr>
              <w:jc w:val="center"/>
              <w:rPr>
                <w:color w:val="000000"/>
                <w:sz w:val="22"/>
                <w:szCs w:val="22"/>
              </w:rPr>
            </w:pPr>
            <w:r w:rsidRPr="00E269BC">
              <w:rPr>
                <w:color w:val="000000"/>
                <w:sz w:val="22"/>
                <w:szCs w:val="22"/>
              </w:rPr>
              <w:t>0.3165</w:t>
            </w:r>
          </w:p>
        </w:tc>
        <w:tc>
          <w:tcPr>
            <w:tcW w:w="1200" w:type="dxa"/>
            <w:shd w:val="clear" w:color="auto" w:fill="auto"/>
            <w:noWrap/>
            <w:vAlign w:val="center"/>
            <w:hideMark/>
          </w:tcPr>
          <w:p w14:paraId="3C348E6D" w14:textId="77777777" w:rsidR="00E269BC" w:rsidRPr="00E269BC" w:rsidRDefault="00E269BC" w:rsidP="00CB142C">
            <w:pPr>
              <w:jc w:val="center"/>
              <w:rPr>
                <w:color w:val="000000"/>
                <w:sz w:val="22"/>
                <w:szCs w:val="22"/>
              </w:rPr>
            </w:pPr>
            <w:r w:rsidRPr="00E269BC">
              <w:rPr>
                <w:color w:val="000000"/>
                <w:sz w:val="22"/>
                <w:szCs w:val="22"/>
              </w:rPr>
              <w:t>0.3170</w:t>
            </w:r>
          </w:p>
        </w:tc>
        <w:tc>
          <w:tcPr>
            <w:tcW w:w="1200" w:type="dxa"/>
            <w:shd w:val="clear" w:color="auto" w:fill="auto"/>
            <w:noWrap/>
            <w:vAlign w:val="center"/>
            <w:hideMark/>
          </w:tcPr>
          <w:p w14:paraId="4748C97C" w14:textId="77777777" w:rsidR="00E269BC" w:rsidRPr="00E269BC" w:rsidRDefault="00E269BC" w:rsidP="00CB142C">
            <w:pPr>
              <w:jc w:val="center"/>
              <w:rPr>
                <w:color w:val="000000"/>
                <w:sz w:val="22"/>
                <w:szCs w:val="22"/>
              </w:rPr>
            </w:pPr>
            <w:r w:rsidRPr="00E269BC">
              <w:rPr>
                <w:color w:val="000000"/>
                <w:sz w:val="22"/>
                <w:szCs w:val="22"/>
              </w:rPr>
              <w:t>0.3170</w:t>
            </w:r>
          </w:p>
        </w:tc>
        <w:tc>
          <w:tcPr>
            <w:tcW w:w="1200" w:type="dxa"/>
            <w:shd w:val="clear" w:color="auto" w:fill="auto"/>
            <w:noWrap/>
            <w:vAlign w:val="center"/>
            <w:hideMark/>
          </w:tcPr>
          <w:p w14:paraId="4E666460" w14:textId="77777777" w:rsidR="00E269BC" w:rsidRPr="00E269BC" w:rsidRDefault="00E269BC" w:rsidP="00CB142C">
            <w:pPr>
              <w:jc w:val="center"/>
              <w:rPr>
                <w:color w:val="000000"/>
                <w:sz w:val="22"/>
                <w:szCs w:val="22"/>
              </w:rPr>
            </w:pPr>
            <w:r w:rsidRPr="00E269BC">
              <w:rPr>
                <w:color w:val="000000"/>
                <w:sz w:val="22"/>
                <w:szCs w:val="22"/>
              </w:rPr>
              <w:t>0.3279</w:t>
            </w:r>
          </w:p>
        </w:tc>
        <w:tc>
          <w:tcPr>
            <w:tcW w:w="1200" w:type="dxa"/>
            <w:shd w:val="clear" w:color="auto" w:fill="auto"/>
            <w:noWrap/>
            <w:vAlign w:val="center"/>
            <w:hideMark/>
          </w:tcPr>
          <w:p w14:paraId="492597E8" w14:textId="77777777" w:rsidR="00E269BC" w:rsidRPr="00E269BC" w:rsidRDefault="00E269BC" w:rsidP="00CB142C">
            <w:pPr>
              <w:jc w:val="center"/>
              <w:rPr>
                <w:color w:val="000000"/>
                <w:sz w:val="22"/>
                <w:szCs w:val="22"/>
              </w:rPr>
            </w:pPr>
            <w:r w:rsidRPr="00E269BC">
              <w:rPr>
                <w:color w:val="000000"/>
                <w:sz w:val="22"/>
                <w:szCs w:val="22"/>
              </w:rPr>
              <w:t>0.3196</w:t>
            </w:r>
          </w:p>
        </w:tc>
      </w:tr>
      <w:tr w:rsidR="00E269BC" w:rsidRPr="00E269BC" w14:paraId="3C3A5C1B" w14:textId="77777777" w:rsidTr="00E269BC">
        <w:trPr>
          <w:trHeight w:val="330"/>
          <w:jc w:val="center"/>
        </w:trPr>
        <w:tc>
          <w:tcPr>
            <w:tcW w:w="1940" w:type="dxa"/>
            <w:shd w:val="clear" w:color="auto" w:fill="auto"/>
            <w:noWrap/>
            <w:vAlign w:val="center"/>
            <w:hideMark/>
          </w:tcPr>
          <w:p w14:paraId="661AFD0F" w14:textId="77777777" w:rsidR="00E269BC" w:rsidRPr="00E269BC" w:rsidRDefault="00E269BC" w:rsidP="00CB142C">
            <w:pPr>
              <w:jc w:val="center"/>
              <w:rPr>
                <w:color w:val="000000"/>
                <w:sz w:val="22"/>
                <w:szCs w:val="22"/>
              </w:rPr>
            </w:pPr>
            <w:r w:rsidRPr="00E269BC">
              <w:rPr>
                <w:color w:val="000000"/>
                <w:sz w:val="22"/>
                <w:szCs w:val="22"/>
              </w:rPr>
              <w:t>5</w:t>
            </w:r>
          </w:p>
        </w:tc>
        <w:tc>
          <w:tcPr>
            <w:tcW w:w="1200" w:type="dxa"/>
            <w:shd w:val="clear" w:color="auto" w:fill="auto"/>
            <w:noWrap/>
            <w:vAlign w:val="center"/>
            <w:hideMark/>
          </w:tcPr>
          <w:p w14:paraId="346B1AA4" w14:textId="77777777" w:rsidR="00E269BC" w:rsidRPr="00E269BC" w:rsidRDefault="00E269BC" w:rsidP="00CB142C">
            <w:pPr>
              <w:jc w:val="center"/>
              <w:rPr>
                <w:color w:val="000000"/>
                <w:sz w:val="22"/>
                <w:szCs w:val="22"/>
              </w:rPr>
            </w:pPr>
            <w:r w:rsidRPr="00E269BC">
              <w:rPr>
                <w:color w:val="000000"/>
                <w:sz w:val="22"/>
                <w:szCs w:val="22"/>
              </w:rPr>
              <w:t>0.3373</w:t>
            </w:r>
          </w:p>
        </w:tc>
        <w:tc>
          <w:tcPr>
            <w:tcW w:w="1200" w:type="dxa"/>
            <w:shd w:val="clear" w:color="auto" w:fill="auto"/>
            <w:noWrap/>
            <w:vAlign w:val="center"/>
            <w:hideMark/>
          </w:tcPr>
          <w:p w14:paraId="0BE9D887" w14:textId="77777777" w:rsidR="00E269BC" w:rsidRPr="00E269BC" w:rsidRDefault="00E269BC" w:rsidP="00CB142C">
            <w:pPr>
              <w:jc w:val="center"/>
              <w:rPr>
                <w:color w:val="000000"/>
                <w:sz w:val="22"/>
                <w:szCs w:val="22"/>
              </w:rPr>
            </w:pPr>
            <w:r w:rsidRPr="00E269BC">
              <w:rPr>
                <w:color w:val="000000"/>
                <w:sz w:val="22"/>
                <w:szCs w:val="22"/>
              </w:rPr>
              <w:t>0.336</w:t>
            </w:r>
          </w:p>
        </w:tc>
        <w:tc>
          <w:tcPr>
            <w:tcW w:w="1200" w:type="dxa"/>
            <w:shd w:val="clear" w:color="auto" w:fill="auto"/>
            <w:noWrap/>
            <w:vAlign w:val="center"/>
            <w:hideMark/>
          </w:tcPr>
          <w:p w14:paraId="25246971" w14:textId="77777777" w:rsidR="00E269BC" w:rsidRPr="00E269BC" w:rsidRDefault="00E269BC" w:rsidP="00CB142C">
            <w:pPr>
              <w:jc w:val="center"/>
              <w:rPr>
                <w:color w:val="000000"/>
                <w:sz w:val="22"/>
                <w:szCs w:val="22"/>
              </w:rPr>
            </w:pPr>
            <w:r w:rsidRPr="00E269BC">
              <w:rPr>
                <w:color w:val="000000"/>
                <w:sz w:val="22"/>
                <w:szCs w:val="22"/>
              </w:rPr>
              <w:t>0.3413</w:t>
            </w:r>
          </w:p>
        </w:tc>
        <w:tc>
          <w:tcPr>
            <w:tcW w:w="1200" w:type="dxa"/>
            <w:shd w:val="clear" w:color="auto" w:fill="auto"/>
            <w:noWrap/>
            <w:vAlign w:val="center"/>
            <w:hideMark/>
          </w:tcPr>
          <w:p w14:paraId="00EDE8F3" w14:textId="77777777" w:rsidR="00E269BC" w:rsidRPr="00E269BC" w:rsidRDefault="00E269BC" w:rsidP="00CB142C">
            <w:pPr>
              <w:jc w:val="center"/>
              <w:rPr>
                <w:color w:val="000000"/>
                <w:sz w:val="22"/>
                <w:szCs w:val="22"/>
              </w:rPr>
            </w:pPr>
            <w:r w:rsidRPr="00E269BC">
              <w:rPr>
                <w:color w:val="000000"/>
                <w:sz w:val="22"/>
                <w:szCs w:val="22"/>
              </w:rPr>
              <w:t>0.3292</w:t>
            </w:r>
          </w:p>
        </w:tc>
        <w:tc>
          <w:tcPr>
            <w:tcW w:w="1200" w:type="dxa"/>
            <w:shd w:val="clear" w:color="auto" w:fill="auto"/>
            <w:noWrap/>
            <w:vAlign w:val="center"/>
            <w:hideMark/>
          </w:tcPr>
          <w:p w14:paraId="420E5E09" w14:textId="77777777" w:rsidR="00E269BC" w:rsidRPr="00E269BC" w:rsidRDefault="00E269BC" w:rsidP="00CB142C">
            <w:pPr>
              <w:jc w:val="center"/>
              <w:rPr>
                <w:color w:val="000000"/>
                <w:sz w:val="22"/>
                <w:szCs w:val="22"/>
              </w:rPr>
            </w:pPr>
            <w:r w:rsidRPr="00E269BC">
              <w:rPr>
                <w:color w:val="000000"/>
                <w:sz w:val="22"/>
                <w:szCs w:val="22"/>
              </w:rPr>
              <w:t>0.336</w:t>
            </w:r>
          </w:p>
        </w:tc>
      </w:tr>
      <w:tr w:rsidR="00E269BC" w:rsidRPr="00E269BC" w14:paraId="235F4D8A" w14:textId="77777777" w:rsidTr="00E269BC">
        <w:trPr>
          <w:trHeight w:val="330"/>
          <w:jc w:val="center"/>
        </w:trPr>
        <w:tc>
          <w:tcPr>
            <w:tcW w:w="1940" w:type="dxa"/>
            <w:shd w:val="clear" w:color="auto" w:fill="auto"/>
            <w:noWrap/>
            <w:vAlign w:val="center"/>
            <w:hideMark/>
          </w:tcPr>
          <w:p w14:paraId="25EC5F23" w14:textId="77777777" w:rsidR="00E269BC" w:rsidRPr="00E269BC" w:rsidRDefault="00E269BC" w:rsidP="00CB142C">
            <w:pPr>
              <w:jc w:val="center"/>
              <w:rPr>
                <w:color w:val="000000"/>
                <w:sz w:val="22"/>
                <w:szCs w:val="22"/>
              </w:rPr>
            </w:pPr>
            <w:r w:rsidRPr="00E269BC">
              <w:rPr>
                <w:color w:val="000000"/>
                <w:sz w:val="22"/>
                <w:szCs w:val="22"/>
              </w:rPr>
              <w:t>6</w:t>
            </w:r>
          </w:p>
        </w:tc>
        <w:tc>
          <w:tcPr>
            <w:tcW w:w="1200" w:type="dxa"/>
            <w:shd w:val="clear" w:color="auto" w:fill="auto"/>
            <w:noWrap/>
            <w:vAlign w:val="center"/>
            <w:hideMark/>
          </w:tcPr>
          <w:p w14:paraId="780A87B2" w14:textId="77777777" w:rsidR="00E269BC" w:rsidRPr="00E269BC" w:rsidRDefault="00E269BC" w:rsidP="00CB142C">
            <w:pPr>
              <w:jc w:val="center"/>
              <w:rPr>
                <w:color w:val="000000"/>
                <w:sz w:val="22"/>
                <w:szCs w:val="22"/>
              </w:rPr>
            </w:pPr>
            <w:r w:rsidRPr="00E269BC">
              <w:rPr>
                <w:color w:val="000000"/>
                <w:sz w:val="22"/>
                <w:szCs w:val="22"/>
              </w:rPr>
              <w:t>0.3298</w:t>
            </w:r>
          </w:p>
        </w:tc>
        <w:tc>
          <w:tcPr>
            <w:tcW w:w="1200" w:type="dxa"/>
            <w:shd w:val="clear" w:color="auto" w:fill="auto"/>
            <w:noWrap/>
            <w:vAlign w:val="center"/>
            <w:hideMark/>
          </w:tcPr>
          <w:p w14:paraId="4704AA87" w14:textId="77777777" w:rsidR="00E269BC" w:rsidRPr="00E269BC" w:rsidRDefault="00E269BC" w:rsidP="00CB142C">
            <w:pPr>
              <w:jc w:val="center"/>
              <w:rPr>
                <w:color w:val="000000"/>
                <w:sz w:val="22"/>
                <w:szCs w:val="22"/>
              </w:rPr>
            </w:pPr>
            <w:r w:rsidRPr="00E269BC">
              <w:rPr>
                <w:color w:val="000000"/>
                <w:sz w:val="22"/>
                <w:szCs w:val="22"/>
              </w:rPr>
              <w:t>0.3235</w:t>
            </w:r>
          </w:p>
        </w:tc>
        <w:tc>
          <w:tcPr>
            <w:tcW w:w="1200" w:type="dxa"/>
            <w:shd w:val="clear" w:color="auto" w:fill="auto"/>
            <w:noWrap/>
            <w:vAlign w:val="center"/>
            <w:hideMark/>
          </w:tcPr>
          <w:p w14:paraId="190EE86B" w14:textId="77777777" w:rsidR="00E269BC" w:rsidRPr="00E269BC" w:rsidRDefault="00E269BC" w:rsidP="00CB142C">
            <w:pPr>
              <w:jc w:val="center"/>
              <w:rPr>
                <w:color w:val="000000"/>
                <w:sz w:val="22"/>
                <w:szCs w:val="22"/>
              </w:rPr>
            </w:pPr>
            <w:r w:rsidRPr="00E269BC">
              <w:rPr>
                <w:color w:val="000000"/>
                <w:sz w:val="22"/>
                <w:szCs w:val="22"/>
              </w:rPr>
              <w:t>0.3151</w:t>
            </w:r>
          </w:p>
        </w:tc>
        <w:tc>
          <w:tcPr>
            <w:tcW w:w="1200" w:type="dxa"/>
            <w:shd w:val="clear" w:color="auto" w:fill="auto"/>
            <w:noWrap/>
            <w:vAlign w:val="center"/>
            <w:hideMark/>
          </w:tcPr>
          <w:p w14:paraId="6BF70F82" w14:textId="77777777" w:rsidR="00E269BC" w:rsidRPr="00E269BC" w:rsidRDefault="00E269BC" w:rsidP="00CB142C">
            <w:pPr>
              <w:jc w:val="center"/>
              <w:rPr>
                <w:color w:val="000000"/>
                <w:sz w:val="22"/>
                <w:szCs w:val="22"/>
              </w:rPr>
            </w:pPr>
            <w:r w:rsidRPr="00E269BC">
              <w:rPr>
                <w:color w:val="000000"/>
                <w:sz w:val="22"/>
                <w:szCs w:val="22"/>
              </w:rPr>
              <w:t>0.3262</w:t>
            </w:r>
          </w:p>
        </w:tc>
        <w:tc>
          <w:tcPr>
            <w:tcW w:w="1200" w:type="dxa"/>
            <w:shd w:val="clear" w:color="auto" w:fill="auto"/>
            <w:noWrap/>
            <w:vAlign w:val="center"/>
            <w:hideMark/>
          </w:tcPr>
          <w:p w14:paraId="001AE8BD" w14:textId="77777777" w:rsidR="00E269BC" w:rsidRPr="00E269BC" w:rsidRDefault="00E269BC" w:rsidP="00CB142C">
            <w:pPr>
              <w:jc w:val="center"/>
              <w:rPr>
                <w:color w:val="000000"/>
                <w:sz w:val="22"/>
                <w:szCs w:val="22"/>
              </w:rPr>
            </w:pPr>
            <w:r w:rsidRPr="00E269BC">
              <w:rPr>
                <w:color w:val="000000"/>
                <w:sz w:val="22"/>
                <w:szCs w:val="22"/>
              </w:rPr>
              <w:t>0.3236</w:t>
            </w:r>
          </w:p>
        </w:tc>
      </w:tr>
      <w:tr w:rsidR="00E269BC" w:rsidRPr="00E269BC" w14:paraId="32AB5312" w14:textId="77777777" w:rsidTr="00E269BC">
        <w:trPr>
          <w:trHeight w:val="300"/>
          <w:jc w:val="center"/>
        </w:trPr>
        <w:tc>
          <w:tcPr>
            <w:tcW w:w="1940" w:type="dxa"/>
            <w:shd w:val="clear" w:color="auto" w:fill="auto"/>
            <w:noWrap/>
            <w:vAlign w:val="bottom"/>
            <w:hideMark/>
          </w:tcPr>
          <w:p w14:paraId="1A2E676D" w14:textId="77777777" w:rsidR="00E269BC" w:rsidRPr="00E269BC" w:rsidRDefault="00E269BC" w:rsidP="00CB142C">
            <w:pPr>
              <w:jc w:val="center"/>
              <w:rPr>
                <w:color w:val="000000"/>
                <w:sz w:val="22"/>
                <w:szCs w:val="22"/>
              </w:rPr>
            </w:pPr>
            <w:r w:rsidRPr="00E269BC">
              <w:rPr>
                <w:color w:val="000000"/>
                <w:sz w:val="22"/>
                <w:szCs w:val="22"/>
              </w:rPr>
              <w:t>Average</w:t>
            </w:r>
          </w:p>
        </w:tc>
        <w:tc>
          <w:tcPr>
            <w:tcW w:w="1200" w:type="dxa"/>
            <w:shd w:val="clear" w:color="auto" w:fill="auto"/>
            <w:noWrap/>
            <w:vAlign w:val="bottom"/>
            <w:hideMark/>
          </w:tcPr>
          <w:p w14:paraId="01427C9F" w14:textId="77777777" w:rsidR="00E269BC" w:rsidRPr="00E269BC" w:rsidRDefault="00E269BC" w:rsidP="00CB142C">
            <w:pPr>
              <w:jc w:val="center"/>
              <w:rPr>
                <w:color w:val="000000"/>
                <w:sz w:val="22"/>
                <w:szCs w:val="22"/>
              </w:rPr>
            </w:pPr>
            <w:r w:rsidRPr="00E269BC">
              <w:rPr>
                <w:color w:val="000000"/>
                <w:sz w:val="22"/>
                <w:szCs w:val="22"/>
              </w:rPr>
              <w:t>0.3328</w:t>
            </w:r>
          </w:p>
        </w:tc>
        <w:tc>
          <w:tcPr>
            <w:tcW w:w="1200" w:type="dxa"/>
            <w:shd w:val="clear" w:color="auto" w:fill="auto"/>
            <w:noWrap/>
            <w:vAlign w:val="bottom"/>
            <w:hideMark/>
          </w:tcPr>
          <w:p w14:paraId="6EB37FD4" w14:textId="77777777" w:rsidR="00E269BC" w:rsidRPr="00E269BC" w:rsidRDefault="00E269BC" w:rsidP="00CB142C">
            <w:pPr>
              <w:jc w:val="center"/>
              <w:rPr>
                <w:color w:val="000000"/>
                <w:sz w:val="22"/>
                <w:szCs w:val="22"/>
              </w:rPr>
            </w:pPr>
            <w:r w:rsidRPr="00E269BC">
              <w:rPr>
                <w:color w:val="000000"/>
                <w:sz w:val="22"/>
                <w:szCs w:val="22"/>
              </w:rPr>
              <w:t>0.3323</w:t>
            </w:r>
          </w:p>
        </w:tc>
        <w:tc>
          <w:tcPr>
            <w:tcW w:w="1200" w:type="dxa"/>
            <w:shd w:val="clear" w:color="auto" w:fill="auto"/>
            <w:noWrap/>
            <w:vAlign w:val="bottom"/>
            <w:hideMark/>
          </w:tcPr>
          <w:p w14:paraId="773BDE53" w14:textId="77777777" w:rsidR="00E269BC" w:rsidRPr="00E269BC" w:rsidRDefault="00E269BC" w:rsidP="00CB142C">
            <w:pPr>
              <w:jc w:val="center"/>
              <w:rPr>
                <w:color w:val="000000"/>
                <w:sz w:val="22"/>
                <w:szCs w:val="22"/>
              </w:rPr>
            </w:pPr>
            <w:r w:rsidRPr="00E269BC">
              <w:rPr>
                <w:color w:val="000000"/>
                <w:sz w:val="22"/>
                <w:szCs w:val="22"/>
              </w:rPr>
              <w:t>0.3337</w:t>
            </w:r>
          </w:p>
        </w:tc>
        <w:tc>
          <w:tcPr>
            <w:tcW w:w="1200" w:type="dxa"/>
            <w:shd w:val="clear" w:color="auto" w:fill="auto"/>
            <w:noWrap/>
            <w:vAlign w:val="bottom"/>
            <w:hideMark/>
          </w:tcPr>
          <w:p w14:paraId="4ECD1A8D" w14:textId="77777777" w:rsidR="00E269BC" w:rsidRPr="00E269BC" w:rsidRDefault="00E269BC" w:rsidP="00CB142C">
            <w:pPr>
              <w:jc w:val="center"/>
              <w:rPr>
                <w:color w:val="000000"/>
                <w:sz w:val="22"/>
                <w:szCs w:val="22"/>
              </w:rPr>
            </w:pPr>
            <w:r w:rsidRPr="00E269BC">
              <w:rPr>
                <w:color w:val="000000"/>
                <w:sz w:val="22"/>
                <w:szCs w:val="22"/>
              </w:rPr>
              <w:t>0.3324</w:t>
            </w:r>
          </w:p>
        </w:tc>
        <w:tc>
          <w:tcPr>
            <w:tcW w:w="1200" w:type="dxa"/>
            <w:shd w:val="clear" w:color="auto" w:fill="auto"/>
            <w:noWrap/>
            <w:vAlign w:val="bottom"/>
            <w:hideMark/>
          </w:tcPr>
          <w:p w14:paraId="2D806B91" w14:textId="77777777" w:rsidR="00E269BC" w:rsidRPr="00E269BC" w:rsidRDefault="00E269BC" w:rsidP="00CB142C">
            <w:pPr>
              <w:jc w:val="center"/>
              <w:rPr>
                <w:color w:val="000000"/>
                <w:sz w:val="22"/>
                <w:szCs w:val="22"/>
              </w:rPr>
            </w:pPr>
            <w:r w:rsidRPr="00E269BC">
              <w:rPr>
                <w:color w:val="000000"/>
                <w:sz w:val="22"/>
                <w:szCs w:val="22"/>
              </w:rPr>
              <w:t>0.3328</w:t>
            </w:r>
          </w:p>
        </w:tc>
      </w:tr>
      <w:tr w:rsidR="00E269BC" w:rsidRPr="00E269BC" w14:paraId="5E6F37BB" w14:textId="77777777" w:rsidTr="00E269BC">
        <w:trPr>
          <w:trHeight w:val="300"/>
          <w:jc w:val="center"/>
        </w:trPr>
        <w:tc>
          <w:tcPr>
            <w:tcW w:w="1940" w:type="dxa"/>
            <w:shd w:val="clear" w:color="auto" w:fill="auto"/>
            <w:noWrap/>
            <w:vAlign w:val="bottom"/>
            <w:hideMark/>
          </w:tcPr>
          <w:p w14:paraId="719EB89F" w14:textId="77777777" w:rsidR="00E269BC" w:rsidRPr="00E269BC" w:rsidRDefault="00E269BC" w:rsidP="00CB142C">
            <w:pPr>
              <w:jc w:val="center"/>
              <w:rPr>
                <w:color w:val="000000"/>
                <w:sz w:val="22"/>
                <w:szCs w:val="22"/>
              </w:rPr>
            </w:pPr>
            <w:r w:rsidRPr="00E269BC">
              <w:rPr>
                <w:color w:val="000000"/>
                <w:sz w:val="22"/>
                <w:szCs w:val="22"/>
              </w:rPr>
              <w:t>Std Deviation</w:t>
            </w:r>
          </w:p>
        </w:tc>
        <w:tc>
          <w:tcPr>
            <w:tcW w:w="1200" w:type="dxa"/>
            <w:shd w:val="clear" w:color="auto" w:fill="auto"/>
            <w:noWrap/>
            <w:vAlign w:val="bottom"/>
            <w:hideMark/>
          </w:tcPr>
          <w:p w14:paraId="711D98DB" w14:textId="77777777" w:rsidR="00E269BC" w:rsidRPr="00E269BC" w:rsidRDefault="00E269BC" w:rsidP="00CB142C">
            <w:pPr>
              <w:jc w:val="center"/>
              <w:rPr>
                <w:color w:val="000000"/>
                <w:sz w:val="22"/>
                <w:szCs w:val="22"/>
              </w:rPr>
            </w:pPr>
            <w:r w:rsidRPr="00E269BC">
              <w:rPr>
                <w:color w:val="000000"/>
                <w:sz w:val="22"/>
                <w:szCs w:val="22"/>
              </w:rPr>
              <w:t>0.0110</w:t>
            </w:r>
          </w:p>
        </w:tc>
        <w:tc>
          <w:tcPr>
            <w:tcW w:w="1200" w:type="dxa"/>
            <w:shd w:val="clear" w:color="auto" w:fill="auto"/>
            <w:noWrap/>
            <w:vAlign w:val="bottom"/>
            <w:hideMark/>
          </w:tcPr>
          <w:p w14:paraId="177DF562" w14:textId="77777777" w:rsidR="00E269BC" w:rsidRPr="00E269BC" w:rsidRDefault="00E269BC" w:rsidP="00CB142C">
            <w:pPr>
              <w:jc w:val="center"/>
              <w:rPr>
                <w:color w:val="000000"/>
                <w:sz w:val="22"/>
                <w:szCs w:val="22"/>
              </w:rPr>
            </w:pPr>
            <w:r w:rsidRPr="00E269BC">
              <w:rPr>
                <w:color w:val="000000"/>
                <w:sz w:val="22"/>
                <w:szCs w:val="22"/>
              </w:rPr>
              <w:t>0.0105</w:t>
            </w:r>
          </w:p>
        </w:tc>
        <w:tc>
          <w:tcPr>
            <w:tcW w:w="1200" w:type="dxa"/>
            <w:shd w:val="clear" w:color="auto" w:fill="auto"/>
            <w:noWrap/>
            <w:vAlign w:val="bottom"/>
            <w:hideMark/>
          </w:tcPr>
          <w:p w14:paraId="563B72C3" w14:textId="77777777" w:rsidR="00E269BC" w:rsidRPr="00E269BC" w:rsidRDefault="00E269BC" w:rsidP="00CB142C">
            <w:pPr>
              <w:jc w:val="center"/>
              <w:rPr>
                <w:color w:val="000000"/>
                <w:sz w:val="22"/>
                <w:szCs w:val="22"/>
              </w:rPr>
            </w:pPr>
            <w:r w:rsidRPr="00E269BC">
              <w:rPr>
                <w:color w:val="000000"/>
                <w:sz w:val="22"/>
                <w:szCs w:val="22"/>
              </w:rPr>
              <w:t>0.0143</w:t>
            </w:r>
          </w:p>
        </w:tc>
        <w:tc>
          <w:tcPr>
            <w:tcW w:w="1200" w:type="dxa"/>
            <w:shd w:val="clear" w:color="auto" w:fill="auto"/>
            <w:noWrap/>
            <w:vAlign w:val="bottom"/>
            <w:hideMark/>
          </w:tcPr>
          <w:p w14:paraId="41AE8B97" w14:textId="77777777" w:rsidR="00E269BC" w:rsidRPr="00E269BC" w:rsidRDefault="00E269BC" w:rsidP="00CB142C">
            <w:pPr>
              <w:jc w:val="center"/>
              <w:rPr>
                <w:color w:val="000000"/>
                <w:sz w:val="22"/>
                <w:szCs w:val="22"/>
              </w:rPr>
            </w:pPr>
            <w:r w:rsidRPr="00E269BC">
              <w:rPr>
                <w:color w:val="000000"/>
                <w:sz w:val="22"/>
                <w:szCs w:val="22"/>
              </w:rPr>
              <w:t>0.0076</w:t>
            </w:r>
          </w:p>
        </w:tc>
        <w:tc>
          <w:tcPr>
            <w:tcW w:w="1200" w:type="dxa"/>
            <w:shd w:val="clear" w:color="auto" w:fill="auto"/>
            <w:noWrap/>
            <w:vAlign w:val="bottom"/>
            <w:hideMark/>
          </w:tcPr>
          <w:p w14:paraId="602DF725" w14:textId="77777777" w:rsidR="00E269BC" w:rsidRPr="00E269BC" w:rsidRDefault="00E269BC" w:rsidP="00CB142C">
            <w:pPr>
              <w:jc w:val="center"/>
              <w:rPr>
                <w:color w:val="000000"/>
                <w:sz w:val="22"/>
                <w:szCs w:val="22"/>
              </w:rPr>
            </w:pPr>
            <w:r w:rsidRPr="00E269BC">
              <w:rPr>
                <w:color w:val="000000"/>
                <w:sz w:val="22"/>
                <w:szCs w:val="22"/>
              </w:rPr>
              <w:t>0.0102</w:t>
            </w:r>
          </w:p>
        </w:tc>
      </w:tr>
      <w:tr w:rsidR="00E269BC" w:rsidRPr="00E269BC" w14:paraId="59A0F08A" w14:textId="77777777" w:rsidTr="00E269BC">
        <w:trPr>
          <w:trHeight w:val="300"/>
          <w:jc w:val="center"/>
        </w:trPr>
        <w:tc>
          <w:tcPr>
            <w:tcW w:w="1940" w:type="dxa"/>
            <w:shd w:val="clear" w:color="auto" w:fill="auto"/>
            <w:noWrap/>
            <w:vAlign w:val="bottom"/>
            <w:hideMark/>
          </w:tcPr>
          <w:p w14:paraId="6BB9F359" w14:textId="77777777" w:rsidR="00E269BC" w:rsidRPr="00E269BC" w:rsidRDefault="00E269BC" w:rsidP="00CB142C">
            <w:pPr>
              <w:jc w:val="center"/>
              <w:rPr>
                <w:color w:val="000000"/>
                <w:sz w:val="22"/>
                <w:szCs w:val="22"/>
              </w:rPr>
            </w:pPr>
            <w:r w:rsidRPr="00E269BC">
              <w:rPr>
                <w:color w:val="000000"/>
                <w:sz w:val="22"/>
                <w:szCs w:val="22"/>
              </w:rPr>
              <w:t>StdDev/Average%</w:t>
            </w:r>
          </w:p>
        </w:tc>
        <w:tc>
          <w:tcPr>
            <w:tcW w:w="1200" w:type="dxa"/>
            <w:shd w:val="clear" w:color="auto" w:fill="auto"/>
            <w:noWrap/>
            <w:vAlign w:val="bottom"/>
            <w:hideMark/>
          </w:tcPr>
          <w:p w14:paraId="57B9852E" w14:textId="77777777" w:rsidR="00E269BC" w:rsidRPr="00E269BC" w:rsidRDefault="00E269BC" w:rsidP="00CB142C">
            <w:pPr>
              <w:jc w:val="center"/>
              <w:rPr>
                <w:color w:val="000000"/>
                <w:sz w:val="22"/>
                <w:szCs w:val="22"/>
              </w:rPr>
            </w:pPr>
            <w:r w:rsidRPr="00E269BC">
              <w:rPr>
                <w:color w:val="000000"/>
                <w:sz w:val="22"/>
                <w:szCs w:val="22"/>
              </w:rPr>
              <w:t>3.31%</w:t>
            </w:r>
          </w:p>
        </w:tc>
        <w:tc>
          <w:tcPr>
            <w:tcW w:w="1200" w:type="dxa"/>
            <w:shd w:val="clear" w:color="auto" w:fill="auto"/>
            <w:noWrap/>
            <w:vAlign w:val="bottom"/>
            <w:hideMark/>
          </w:tcPr>
          <w:p w14:paraId="03372C7A" w14:textId="77777777" w:rsidR="00E269BC" w:rsidRPr="00E269BC" w:rsidRDefault="00E269BC" w:rsidP="00CB142C">
            <w:pPr>
              <w:jc w:val="center"/>
              <w:rPr>
                <w:color w:val="000000"/>
                <w:sz w:val="22"/>
                <w:szCs w:val="22"/>
              </w:rPr>
            </w:pPr>
            <w:r w:rsidRPr="00E269BC">
              <w:rPr>
                <w:color w:val="000000"/>
                <w:sz w:val="22"/>
                <w:szCs w:val="22"/>
              </w:rPr>
              <w:t>3.16%</w:t>
            </w:r>
          </w:p>
        </w:tc>
        <w:tc>
          <w:tcPr>
            <w:tcW w:w="1200" w:type="dxa"/>
            <w:shd w:val="clear" w:color="auto" w:fill="auto"/>
            <w:noWrap/>
            <w:vAlign w:val="bottom"/>
            <w:hideMark/>
          </w:tcPr>
          <w:p w14:paraId="76B1F3F9" w14:textId="77777777" w:rsidR="00E269BC" w:rsidRPr="00E269BC" w:rsidRDefault="00E269BC" w:rsidP="00CB142C">
            <w:pPr>
              <w:jc w:val="center"/>
              <w:rPr>
                <w:color w:val="000000"/>
                <w:sz w:val="22"/>
                <w:szCs w:val="22"/>
              </w:rPr>
            </w:pPr>
            <w:r w:rsidRPr="00E269BC">
              <w:rPr>
                <w:color w:val="000000"/>
                <w:sz w:val="22"/>
                <w:szCs w:val="22"/>
              </w:rPr>
              <w:t>4.28%</w:t>
            </w:r>
          </w:p>
        </w:tc>
        <w:tc>
          <w:tcPr>
            <w:tcW w:w="1200" w:type="dxa"/>
            <w:shd w:val="clear" w:color="auto" w:fill="auto"/>
            <w:noWrap/>
            <w:vAlign w:val="bottom"/>
            <w:hideMark/>
          </w:tcPr>
          <w:p w14:paraId="23E98562" w14:textId="77777777" w:rsidR="00E269BC" w:rsidRPr="00E269BC" w:rsidRDefault="00E269BC" w:rsidP="00CB142C">
            <w:pPr>
              <w:jc w:val="center"/>
              <w:rPr>
                <w:color w:val="000000"/>
                <w:sz w:val="22"/>
                <w:szCs w:val="22"/>
              </w:rPr>
            </w:pPr>
            <w:r w:rsidRPr="00E269BC">
              <w:rPr>
                <w:color w:val="000000"/>
                <w:sz w:val="22"/>
                <w:szCs w:val="22"/>
              </w:rPr>
              <w:t>2.28%</w:t>
            </w:r>
          </w:p>
        </w:tc>
        <w:tc>
          <w:tcPr>
            <w:tcW w:w="1200" w:type="dxa"/>
            <w:shd w:val="clear" w:color="auto" w:fill="auto"/>
            <w:noWrap/>
            <w:vAlign w:val="bottom"/>
            <w:hideMark/>
          </w:tcPr>
          <w:p w14:paraId="50AEB6A0" w14:textId="77777777" w:rsidR="00E269BC" w:rsidRPr="00E269BC" w:rsidRDefault="00E269BC" w:rsidP="00CB142C">
            <w:pPr>
              <w:jc w:val="center"/>
              <w:rPr>
                <w:color w:val="000000"/>
                <w:sz w:val="22"/>
                <w:szCs w:val="22"/>
              </w:rPr>
            </w:pPr>
            <w:r w:rsidRPr="00E269BC">
              <w:rPr>
                <w:color w:val="000000"/>
                <w:sz w:val="22"/>
                <w:szCs w:val="22"/>
              </w:rPr>
              <w:t>3.06%</w:t>
            </w:r>
          </w:p>
        </w:tc>
      </w:tr>
    </w:tbl>
    <w:p w14:paraId="0E38C4DD" w14:textId="77777777" w:rsidR="00E269BC" w:rsidRPr="006A3588" w:rsidRDefault="00E269BC" w:rsidP="00E269BC">
      <w:pPr>
        <w:spacing w:line="480" w:lineRule="auto"/>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63003565" w:rsidR="002C10B0" w:rsidRPr="007D3221" w:rsidRDefault="002C10B0" w:rsidP="00A94C3C">
      <w:pPr>
        <w:pStyle w:val="Heading1"/>
        <w:numPr>
          <w:ilvl w:val="0"/>
          <w:numId w:val="5"/>
        </w:numPr>
        <w:jc w:val="center"/>
        <w:rPr>
          <w:sz w:val="22"/>
          <w:szCs w:val="22"/>
        </w:rPr>
      </w:pPr>
      <w:r w:rsidRPr="007D3221">
        <w:rPr>
          <w:sz w:val="22"/>
          <w:szCs w:val="22"/>
        </w:rPr>
        <w:t>CONCLUSIONS</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A94C3C">
      <w:pPr>
        <w:pStyle w:val="Heading1"/>
        <w:jc w:val="center"/>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A94C3C">
      <w:pPr>
        <w:pStyle w:val="Heading1"/>
        <w:jc w:val="center"/>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A94C3C">
      <w:pPr>
        <w:pStyle w:val="Heading1"/>
        <w:jc w:val="center"/>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E269BC">
      <w:pPr>
        <w:pStyle w:val="BodyText3"/>
        <w:numPr>
          <w:ilvl w:val="0"/>
          <w:numId w:val="6"/>
        </w:numPr>
        <w:wordWrap/>
        <w:jc w:val="both"/>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E269BC">
      <w:pPr>
        <w:pStyle w:val="BodyText3"/>
        <w:numPr>
          <w:ilvl w:val="0"/>
          <w:numId w:val="6"/>
        </w:numPr>
        <w:wordWrap/>
        <w:jc w:val="both"/>
        <w:rPr>
          <w:sz w:val="22"/>
          <w:szCs w:val="22"/>
        </w:rPr>
      </w:pPr>
      <w:r w:rsidRPr="007D3221">
        <w:rPr>
          <w:sz w:val="22"/>
          <w:szCs w:val="22"/>
        </w:rPr>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E269BC">
      <w:pPr>
        <w:pStyle w:val="BodyText3"/>
        <w:numPr>
          <w:ilvl w:val="0"/>
          <w:numId w:val="6"/>
        </w:numPr>
        <w:wordWrap/>
        <w:jc w:val="both"/>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E269BC">
      <w:pPr>
        <w:pStyle w:val="BodyText3"/>
        <w:numPr>
          <w:ilvl w:val="0"/>
          <w:numId w:val="6"/>
        </w:numPr>
        <w:wordWrap/>
        <w:jc w:val="both"/>
        <w:rPr>
          <w:sz w:val="22"/>
          <w:szCs w:val="22"/>
        </w:rPr>
      </w:pPr>
      <w:r w:rsidRPr="007D3221">
        <w:rPr>
          <w:sz w:val="22"/>
          <w:szCs w:val="22"/>
        </w:rPr>
        <w:t>“NEAMS Update,” http://www.ne.anl.gov/pdfs/NEAMS/NEAMSQuarterlyReport10-2014.pdf (2014).</w:t>
      </w:r>
    </w:p>
    <w:p w14:paraId="3B1C86A3" w14:textId="77777777" w:rsidR="00CF1A88" w:rsidRPr="007D3221" w:rsidRDefault="00CF1A88" w:rsidP="00E269BC">
      <w:pPr>
        <w:pStyle w:val="BodyText3"/>
        <w:numPr>
          <w:ilvl w:val="0"/>
          <w:numId w:val="6"/>
        </w:numPr>
        <w:wordWrap/>
        <w:jc w:val="both"/>
        <w:rPr>
          <w:sz w:val="22"/>
          <w:szCs w:val="22"/>
        </w:rPr>
      </w:pPr>
      <w:r w:rsidRPr="007D3221">
        <w:rPr>
          <w:sz w:val="22"/>
          <w:szCs w:val="22"/>
        </w:rPr>
        <w:lastRenderedPageBreak/>
        <w:t xml:space="preserve">M. Ishii and S. Kim, “Development of One-group and Two-group Interfacial Area Transport Equation,” </w:t>
      </w:r>
      <w:r w:rsidRPr="007D3221">
        <w:rPr>
          <w:i/>
          <w:sz w:val="22"/>
          <w:szCs w:val="22"/>
        </w:rPr>
        <w:t>Nucl.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E269BC">
      <w:pPr>
        <w:pStyle w:val="BodyText3"/>
        <w:numPr>
          <w:ilvl w:val="0"/>
          <w:numId w:val="6"/>
        </w:numPr>
        <w:jc w:val="both"/>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C. Frepoli,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E269BC">
      <w:pPr>
        <w:pStyle w:val="BodyText3"/>
        <w:numPr>
          <w:ilvl w:val="0"/>
          <w:numId w:val="6"/>
        </w:numPr>
        <w:wordWrap/>
        <w:jc w:val="both"/>
        <w:rPr>
          <w:sz w:val="22"/>
          <w:szCs w:val="22"/>
        </w:rPr>
      </w:pPr>
      <w:r w:rsidRPr="007D3221">
        <w:rPr>
          <w:sz w:val="22"/>
          <w:szCs w:val="22"/>
        </w:rPr>
        <w:t>S. Glasstone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E269BC">
      <w:pPr>
        <w:pStyle w:val="BodyText3"/>
        <w:wordWrap/>
        <w:jc w:val="both"/>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8844B" w14:textId="77777777" w:rsidR="0018446B" w:rsidRDefault="0018446B">
      <w:r>
        <w:separator/>
      </w:r>
    </w:p>
  </w:endnote>
  <w:endnote w:type="continuationSeparator" w:id="0">
    <w:p w14:paraId="7EEE7E15" w14:textId="77777777" w:rsidR="0018446B" w:rsidRDefault="001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Bell MT"/>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FFD6" w14:textId="39B8B5E5" w:rsidR="00C1353C" w:rsidRPr="00F40D58" w:rsidRDefault="00C1353C" w:rsidP="00896224">
    <w:pPr>
      <w:pStyle w:val="Footer"/>
      <w:jc w:val="right"/>
      <w:rPr>
        <w:i/>
      </w:rPr>
    </w:pPr>
    <w:r w:rsidRPr="00F40D58">
      <w:rPr>
        <w:i/>
      </w:rPr>
      <w:t xml:space="preserve">Proceedings of the PHYSOR </w:t>
    </w:r>
    <w:r w:rsidR="00896224" w:rsidRPr="00F40D58">
      <w:rPr>
        <w:i/>
      </w:rPr>
      <w:t>2020</w:t>
    </w:r>
    <w:r w:rsidRPr="00F40D58">
      <w:rPr>
        <w:i/>
      </w:rPr>
      <w:t xml:space="preserve">, </w:t>
    </w:r>
    <w:r w:rsidR="00896224" w:rsidRPr="00F40D58">
      <w:rPr>
        <w:i/>
      </w:rPr>
      <w:t>Cambridge, United Kingdom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5A53" w14:textId="6CE9CF3A" w:rsidR="00C1353C" w:rsidRPr="00C1353C" w:rsidRDefault="00C1353C" w:rsidP="00896224">
    <w:pPr>
      <w:pStyle w:val="Footer"/>
      <w:jc w:val="right"/>
      <w:rPr>
        <w:i/>
      </w:rPr>
    </w:pPr>
    <w:r w:rsidRPr="00C1353C">
      <w:rPr>
        <w:i/>
      </w:rPr>
      <w:t xml:space="preserve">Proceedings of the PHYSOR </w:t>
    </w:r>
    <w:r w:rsidR="00896224">
      <w:rPr>
        <w:i/>
      </w:rPr>
      <w:t>2020</w:t>
    </w:r>
    <w:r w:rsidRPr="00C1353C">
      <w:rPr>
        <w:i/>
      </w:rPr>
      <w:t xml:space="preserve">, </w:t>
    </w:r>
    <w:r w:rsidR="00896224">
      <w:rPr>
        <w:i/>
      </w:rPr>
      <w:t>Cambridge,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98D1" w14:textId="77777777" w:rsidR="0018446B" w:rsidRDefault="0018446B">
      <w:r>
        <w:separator/>
      </w:r>
    </w:p>
  </w:footnote>
  <w:footnote w:type="continuationSeparator" w:id="0">
    <w:p w14:paraId="1E342815" w14:textId="77777777" w:rsidR="0018446B" w:rsidRDefault="0018446B">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261C" w14:textId="3FE07CA8" w:rsidR="00C1353C" w:rsidRPr="00F40D58" w:rsidRDefault="00C1353C" w:rsidP="00C1353C">
    <w:pPr>
      <w:pStyle w:val="Header"/>
      <w:jc w:val="center"/>
      <w:rPr>
        <w:i/>
      </w:rPr>
    </w:pPr>
    <w:r w:rsidRPr="00F40D58">
      <w:rPr>
        <w:i/>
      </w:rPr>
      <w:t>First author et al., Title of the 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43A4" w14:textId="1772DAC9" w:rsidR="00C1353C" w:rsidRPr="00F40D58" w:rsidRDefault="00896224" w:rsidP="00C1353C">
    <w:pPr>
      <w:pStyle w:val="Header"/>
      <w:jc w:val="center"/>
      <w:rPr>
        <w:i/>
      </w:rPr>
    </w:pPr>
    <w:r w:rsidRPr="00F40D58">
      <w:rPr>
        <w:i/>
      </w:rPr>
      <w:t xml:space="preserve">Physics of Reactors </w:t>
    </w:r>
    <w:r w:rsidRPr="00F40D58">
      <w:rPr>
        <w:bCs/>
        <w:i/>
      </w:rPr>
      <w:t>Transition to a Scalable Nuclear Future</w:t>
    </w:r>
  </w:p>
  <w:p w14:paraId="21A15BDD" w14:textId="77777777" w:rsidR="00C1353C" w:rsidRDefault="00C1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9683" w14:textId="18E41F94" w:rsidR="00A379F6" w:rsidRPr="00F40D58" w:rsidRDefault="00A379F6" w:rsidP="00896224">
    <w:pPr>
      <w:pStyle w:val="Header"/>
      <w:jc w:val="center"/>
      <w:rPr>
        <w:b/>
        <w:i/>
      </w:rPr>
    </w:pPr>
    <w:r w:rsidRPr="00F40D58">
      <w:rPr>
        <w:b/>
        <w:i/>
      </w:rPr>
      <w:t>PHYSOR 20</w:t>
    </w:r>
    <w:r w:rsidR="00896224" w:rsidRPr="00F40D58">
      <w:rPr>
        <w:b/>
        <w:i/>
      </w:rPr>
      <w:t>20</w:t>
    </w:r>
    <w:r w:rsidRPr="00F40D58">
      <w:rPr>
        <w:b/>
        <w:i/>
      </w:rPr>
      <w:t xml:space="preserve">: </w:t>
    </w:r>
    <w:r w:rsidR="00896224" w:rsidRPr="00F40D58">
      <w:rPr>
        <w:b/>
        <w:i/>
      </w:rPr>
      <w:t>Transition to a Scalable Nuclear Future</w:t>
    </w:r>
  </w:p>
  <w:p w14:paraId="13BE80FE" w14:textId="1EF39203" w:rsidR="00A379F6" w:rsidRPr="00F40D58" w:rsidRDefault="00896224" w:rsidP="00A379F6">
    <w:pPr>
      <w:pStyle w:val="Header"/>
      <w:jc w:val="center"/>
    </w:pPr>
    <w:r w:rsidRPr="00F40D58">
      <w:t>Cambridge, United Kingdom, March 29</w:t>
    </w:r>
    <w:r w:rsidRPr="00F40D58">
      <w:rPr>
        <w:vertAlign w:val="superscript"/>
      </w:rPr>
      <w:t>th</w:t>
    </w:r>
    <w:r w:rsidRPr="00F40D58">
      <w:t>-April 2</w:t>
    </w:r>
    <w:r w:rsidRPr="00F40D58">
      <w:rPr>
        <w:vertAlign w:val="superscript"/>
      </w:rPr>
      <w:t>nd</w:t>
    </w:r>
    <w:r w:rsidRPr="00F40D58">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C1D98"/>
    <w:rsid w:val="000C5012"/>
    <w:rsid w:val="000C6ECD"/>
    <w:rsid w:val="000E5B37"/>
    <w:rsid w:val="001276C6"/>
    <w:rsid w:val="00132726"/>
    <w:rsid w:val="00146012"/>
    <w:rsid w:val="001522C9"/>
    <w:rsid w:val="00152388"/>
    <w:rsid w:val="00152AD5"/>
    <w:rsid w:val="00165EE8"/>
    <w:rsid w:val="0018446B"/>
    <w:rsid w:val="00187D5C"/>
    <w:rsid w:val="00195430"/>
    <w:rsid w:val="001A1939"/>
    <w:rsid w:val="001A51B9"/>
    <w:rsid w:val="001A65EB"/>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B5B3B"/>
    <w:rsid w:val="003C2822"/>
    <w:rsid w:val="003E6A1B"/>
    <w:rsid w:val="00434FEA"/>
    <w:rsid w:val="00452CA0"/>
    <w:rsid w:val="004848C7"/>
    <w:rsid w:val="00493F85"/>
    <w:rsid w:val="004A4CD5"/>
    <w:rsid w:val="004C77BE"/>
    <w:rsid w:val="004D0E2F"/>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9622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379F6"/>
    <w:rsid w:val="00A73743"/>
    <w:rsid w:val="00A94C3C"/>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1353C"/>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B7D"/>
    <w:rsid w:val="00E1259A"/>
    <w:rsid w:val="00E1699A"/>
    <w:rsid w:val="00E26903"/>
    <w:rsid w:val="00E269BC"/>
    <w:rsid w:val="00E4123A"/>
    <w:rsid w:val="00E52FCE"/>
    <w:rsid w:val="00E64B6F"/>
    <w:rsid w:val="00EA5341"/>
    <w:rsid w:val="00F012A3"/>
    <w:rsid w:val="00F16296"/>
    <w:rsid w:val="00F40D58"/>
    <w:rsid w:val="00F42535"/>
    <w:rsid w:val="00F563E2"/>
    <w:rsid w:val="00F66B0A"/>
    <w:rsid w:val="00F70865"/>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43D122"/>
  <w15:docId w15:val="{006A233D-9873-43D1-8C43-324914B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EndnoteText">
    <w:name w:val="endnote text"/>
    <w:basedOn w:val="Normal"/>
    <w:link w:val="EndnoteTextChar"/>
    <w:uiPriority w:val="99"/>
    <w:semiHidden/>
    <w:unhideWhenUsed/>
    <w:rsid w:val="00F40D58"/>
    <w:rPr>
      <w:sz w:val="20"/>
    </w:rPr>
  </w:style>
  <w:style w:type="character" w:customStyle="1" w:styleId="EndnoteTextChar">
    <w:name w:val="Endnote Text Char"/>
    <w:basedOn w:val="DefaultParagraphFont"/>
    <w:link w:val="EndnoteText"/>
    <w:uiPriority w:val="99"/>
    <w:semiHidden/>
    <w:rsid w:val="00F40D58"/>
  </w:style>
  <w:style w:type="character" w:styleId="EndnoteReference">
    <w:name w:val="endnote reference"/>
    <w:basedOn w:val="DefaultParagraphFont"/>
    <w:uiPriority w:val="99"/>
    <w:semiHidden/>
    <w:unhideWhenUsed/>
    <w:rsid w:val="00F40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5C57-E622-4239-889F-98421B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934</Words>
  <Characters>5327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6249</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M. Margulis</cp:lastModifiedBy>
  <cp:revision>4</cp:revision>
  <cp:lastPrinted>2015-01-21T18:58:00Z</cp:lastPrinted>
  <dcterms:created xsi:type="dcterms:W3CDTF">2017-06-28T16:01:00Z</dcterms:created>
  <dcterms:modified xsi:type="dcterms:W3CDTF">2019-03-14T10:02:00Z</dcterms:modified>
</cp:coreProperties>
</file>